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1448" w14:textId="77777777" w:rsidR="007D67B9" w:rsidRDefault="002A2E9A" w:rsidP="00D7238A">
      <w:pPr>
        <w:rPr>
          <w:rFonts w:cs="Arial"/>
          <w:b/>
          <w:i/>
          <w:color w:val="000000"/>
          <w:sz w:val="20"/>
          <w:lang w:eastAsia="sl-SI"/>
        </w:rPr>
      </w:pPr>
      <w:r w:rsidRPr="002E5E58">
        <w:rPr>
          <w:rFonts w:cs="Arial"/>
          <w:b/>
          <w:i/>
          <w:color w:val="000000"/>
          <w:sz w:val="20"/>
          <w:lang w:eastAsia="sl-SI"/>
        </w:rPr>
        <w:t xml:space="preserve">Predlagatelj: ŽUPAN  </w:t>
      </w:r>
    </w:p>
    <w:p w14:paraId="383C2A7D" w14:textId="4A08BCC0" w:rsidR="008E4227" w:rsidRPr="00FD51D8" w:rsidRDefault="002A2E9A" w:rsidP="00D7238A">
      <w:pPr>
        <w:rPr>
          <w:rFonts w:ascii="Calibri" w:hAnsi="Calibri"/>
          <w:szCs w:val="32"/>
        </w:rPr>
      </w:pPr>
      <w:r w:rsidRPr="002E5E58">
        <w:rPr>
          <w:rFonts w:cs="Arial"/>
          <w:b/>
          <w:i/>
          <w:color w:val="000000"/>
          <w:sz w:val="20"/>
          <w:lang w:eastAsia="sl-SI"/>
        </w:rPr>
        <w:t xml:space="preserve">                                                                                               </w:t>
      </w:r>
      <w:r>
        <w:rPr>
          <w:rFonts w:cs="Arial"/>
          <w:b/>
          <w:i/>
          <w:color w:val="000000"/>
          <w:sz w:val="20"/>
          <w:lang w:eastAsia="sl-SI"/>
        </w:rPr>
        <w:t xml:space="preserve">                </w:t>
      </w:r>
      <w:r w:rsidRPr="002E5E58">
        <w:rPr>
          <w:rFonts w:cs="Arial"/>
          <w:b/>
          <w:i/>
          <w:color w:val="000000"/>
          <w:sz w:val="20"/>
          <w:lang w:eastAsia="sl-SI"/>
        </w:rPr>
        <w:t xml:space="preserve"> </w:t>
      </w:r>
      <w:r w:rsidR="00D7238A" w:rsidRPr="00FD51D8">
        <w:rPr>
          <w:rFonts w:ascii="Calibri" w:hAnsi="Calibri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14:paraId="06398487" w14:textId="77777777" w:rsidR="00DB058C" w:rsidRPr="002A2E9A" w:rsidRDefault="00DB058C" w:rsidP="00DB05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Svet Mestne občine Velenje je na podlagi </w:t>
      </w:r>
      <w:bookmarkStart w:id="0" w:name="_Hlk183505875"/>
      <w:r w:rsidRPr="002A2E9A">
        <w:rPr>
          <w:rFonts w:asciiTheme="minorHAnsi" w:hAnsiTheme="minorHAnsi" w:cstheme="minorHAnsi"/>
          <w:iCs/>
          <w:szCs w:val="22"/>
          <w:lang w:eastAsia="sl-SI"/>
        </w:rPr>
        <w:t>13. člena Zakona o športu (Uradni list RS, št. 29/2017</w:t>
      </w:r>
      <w:r>
        <w:rPr>
          <w:rFonts w:asciiTheme="minorHAnsi" w:hAnsiTheme="minorHAnsi" w:cstheme="minorHAnsi"/>
          <w:iCs/>
          <w:szCs w:val="22"/>
          <w:lang w:eastAsia="sl-SI"/>
        </w:rPr>
        <w:t>,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 21/18 – </w:t>
      </w:r>
      <w:proofErr w:type="spellStart"/>
      <w:r w:rsidRPr="002A2E9A">
        <w:rPr>
          <w:rFonts w:asciiTheme="minorHAnsi" w:hAnsiTheme="minorHAnsi" w:cstheme="minorHAnsi"/>
          <w:iCs/>
          <w:szCs w:val="22"/>
          <w:lang w:eastAsia="sl-SI"/>
        </w:rPr>
        <w:t>ZNOrg</w:t>
      </w:r>
      <w:proofErr w:type="spellEnd"/>
      <w:r>
        <w:rPr>
          <w:rFonts w:asciiTheme="minorHAnsi" w:hAnsiTheme="minorHAnsi" w:cstheme="minorHAnsi"/>
          <w:iCs/>
          <w:szCs w:val="22"/>
          <w:lang w:eastAsia="sl-SI"/>
        </w:rPr>
        <w:t xml:space="preserve">,  82/20, 3/22 – </w:t>
      </w:r>
      <w:proofErr w:type="spellStart"/>
      <w:r>
        <w:rPr>
          <w:rFonts w:asciiTheme="minorHAnsi" w:hAnsiTheme="minorHAnsi" w:cstheme="minorHAnsi"/>
          <w:iCs/>
          <w:szCs w:val="22"/>
          <w:lang w:eastAsia="sl-SI"/>
        </w:rPr>
        <w:t>ZDeb</w:t>
      </w:r>
      <w:proofErr w:type="spellEnd"/>
      <w:r>
        <w:rPr>
          <w:rFonts w:asciiTheme="minorHAnsi" w:hAnsiTheme="minorHAnsi" w:cstheme="minorHAnsi"/>
          <w:iCs/>
          <w:szCs w:val="22"/>
          <w:lang w:eastAsia="sl-SI"/>
        </w:rPr>
        <w:t xml:space="preserve"> in 37/24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), </w:t>
      </w:r>
      <w:r>
        <w:rPr>
          <w:rFonts w:asciiTheme="minorHAnsi" w:hAnsiTheme="minorHAnsi" w:cstheme="minorHAnsi"/>
          <w:iCs/>
          <w:color w:val="000000"/>
          <w:szCs w:val="22"/>
        </w:rPr>
        <w:t>4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 xml:space="preserve">. člena Odloka o postopku za sofinanciranje letnega programa športa v Mestni občini Velenje (Uradni vestnik MOV, št. </w:t>
      </w:r>
      <w:r>
        <w:rPr>
          <w:rFonts w:asciiTheme="minorHAnsi" w:hAnsiTheme="minorHAnsi" w:cstheme="minorHAnsi"/>
          <w:iCs/>
          <w:color w:val="000000"/>
          <w:szCs w:val="22"/>
        </w:rPr>
        <w:t>25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>/</w:t>
      </w:r>
      <w:r>
        <w:rPr>
          <w:rFonts w:asciiTheme="minorHAnsi" w:hAnsiTheme="minorHAnsi" w:cstheme="minorHAnsi"/>
          <w:iCs/>
          <w:color w:val="000000"/>
          <w:szCs w:val="22"/>
        </w:rPr>
        <w:t>24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 xml:space="preserve">) 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in 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24. člena Statuta Mestne občine Velenje (Uradni Vestnik MOV, št. 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14/22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) </w:t>
      </w:r>
      <w:bookmarkEnd w:id="0"/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na svoji </w:t>
      </w:r>
      <w:r>
        <w:rPr>
          <w:rFonts w:asciiTheme="minorHAnsi" w:hAnsiTheme="minorHAnsi" w:cstheme="minorHAnsi"/>
          <w:iCs/>
          <w:szCs w:val="22"/>
          <w:lang w:eastAsia="sl-SI"/>
        </w:rPr>
        <w:t>__.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 seji, dne </w:t>
      </w:r>
      <w:r>
        <w:rPr>
          <w:rFonts w:asciiTheme="minorHAnsi" w:hAnsiTheme="minorHAnsi" w:cstheme="minorHAnsi"/>
          <w:iCs/>
          <w:szCs w:val="22"/>
          <w:lang w:eastAsia="sl-SI"/>
        </w:rPr>
        <w:t xml:space="preserve">_______ 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>s</w:t>
      </w:r>
      <w:r>
        <w:rPr>
          <w:rFonts w:asciiTheme="minorHAnsi" w:hAnsiTheme="minorHAnsi" w:cstheme="minorHAnsi"/>
          <w:iCs/>
          <w:szCs w:val="22"/>
          <w:lang w:eastAsia="sl-SI"/>
        </w:rPr>
        <w:t>pr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>ejel naslednji</w:t>
      </w:r>
    </w:p>
    <w:p w14:paraId="67110513" w14:textId="77777777" w:rsidR="007D67B9" w:rsidRDefault="007D67B9" w:rsidP="00F146A8">
      <w:pPr>
        <w:rPr>
          <w:rFonts w:ascii="Calibri" w:hAnsi="Calibri"/>
          <w:szCs w:val="22"/>
        </w:rPr>
      </w:pPr>
    </w:p>
    <w:p w14:paraId="672AAF42" w14:textId="77777777" w:rsidR="00872545" w:rsidRPr="007D67B9" w:rsidRDefault="00872545" w:rsidP="00F146A8">
      <w:pPr>
        <w:rPr>
          <w:rFonts w:ascii="Calibri" w:hAnsi="Calibri"/>
          <w:szCs w:val="22"/>
        </w:rPr>
      </w:pPr>
    </w:p>
    <w:p w14:paraId="57668157" w14:textId="77777777" w:rsidR="00F146A8" w:rsidRPr="00F94147" w:rsidRDefault="00F146A8" w:rsidP="00F146A8">
      <w:pPr>
        <w:jc w:val="center"/>
        <w:rPr>
          <w:rFonts w:ascii="Calibri" w:hAnsi="Calibri"/>
          <w:bCs/>
          <w:sz w:val="28"/>
        </w:rPr>
      </w:pPr>
      <w:r w:rsidRPr="00F94147">
        <w:rPr>
          <w:rFonts w:ascii="Calibri" w:hAnsi="Calibri"/>
          <w:bCs/>
          <w:sz w:val="28"/>
        </w:rPr>
        <w:t>LETNI PROGRAM ŠPORTA</w:t>
      </w:r>
    </w:p>
    <w:p w14:paraId="127CC278" w14:textId="7E246A69" w:rsidR="00F146A8" w:rsidRPr="00F94147" w:rsidRDefault="00F146A8" w:rsidP="00F146A8">
      <w:pPr>
        <w:jc w:val="center"/>
        <w:rPr>
          <w:rFonts w:ascii="Calibri" w:hAnsi="Calibri"/>
          <w:bCs/>
          <w:sz w:val="28"/>
        </w:rPr>
      </w:pPr>
      <w:r w:rsidRPr="00F94147">
        <w:rPr>
          <w:rFonts w:ascii="Calibri" w:hAnsi="Calibri"/>
          <w:bCs/>
          <w:sz w:val="28"/>
        </w:rPr>
        <w:t xml:space="preserve">V  </w:t>
      </w:r>
      <w:r w:rsidR="008E4227" w:rsidRPr="00F94147">
        <w:rPr>
          <w:rFonts w:ascii="Calibri" w:hAnsi="Calibri"/>
          <w:bCs/>
          <w:sz w:val="28"/>
        </w:rPr>
        <w:t xml:space="preserve">MESTNI </w:t>
      </w:r>
      <w:r w:rsidRPr="00F94147">
        <w:rPr>
          <w:rFonts w:ascii="Calibri" w:hAnsi="Calibri"/>
          <w:bCs/>
          <w:sz w:val="28"/>
        </w:rPr>
        <w:t xml:space="preserve">OBČINI </w:t>
      </w:r>
      <w:r w:rsidR="008E4227" w:rsidRPr="00F94147">
        <w:rPr>
          <w:rFonts w:ascii="Calibri" w:hAnsi="Calibri"/>
          <w:bCs/>
          <w:sz w:val="28"/>
        </w:rPr>
        <w:t>VELENJE</w:t>
      </w:r>
      <w:r w:rsidRPr="00F94147">
        <w:rPr>
          <w:rFonts w:ascii="Calibri" w:hAnsi="Calibri"/>
          <w:bCs/>
          <w:sz w:val="28"/>
        </w:rPr>
        <w:t xml:space="preserve"> ZA LETO </w:t>
      </w:r>
      <w:r w:rsidR="00632DA1">
        <w:rPr>
          <w:rFonts w:ascii="Calibri" w:hAnsi="Calibri"/>
          <w:bCs/>
          <w:sz w:val="28"/>
        </w:rPr>
        <w:t>2025</w:t>
      </w:r>
    </w:p>
    <w:p w14:paraId="0119AADE" w14:textId="77777777" w:rsidR="007D67B9" w:rsidRDefault="007D67B9" w:rsidP="00F146A8">
      <w:pPr>
        <w:rPr>
          <w:rFonts w:ascii="Calibri" w:hAnsi="Calibri"/>
          <w:color w:val="FF0000"/>
          <w:szCs w:val="22"/>
        </w:rPr>
      </w:pPr>
    </w:p>
    <w:p w14:paraId="6CC7D352" w14:textId="77777777" w:rsidR="00872545" w:rsidRPr="007D67B9" w:rsidRDefault="00872545" w:rsidP="00F146A8">
      <w:pPr>
        <w:rPr>
          <w:rFonts w:ascii="Calibri" w:hAnsi="Calibri"/>
          <w:color w:val="FF0000"/>
          <w:szCs w:val="22"/>
        </w:rPr>
      </w:pPr>
    </w:p>
    <w:p w14:paraId="6456FB6D" w14:textId="77777777" w:rsidR="00F146A8" w:rsidRPr="001E63D5" w:rsidRDefault="00F146A8" w:rsidP="00F146A8">
      <w:pPr>
        <w:jc w:val="center"/>
        <w:rPr>
          <w:rFonts w:ascii="Calibri" w:hAnsi="Calibri"/>
        </w:rPr>
      </w:pPr>
      <w:r w:rsidRPr="001E63D5">
        <w:rPr>
          <w:rFonts w:ascii="Calibri" w:hAnsi="Calibri"/>
        </w:rPr>
        <w:t>1. člen</w:t>
      </w:r>
    </w:p>
    <w:p w14:paraId="77F8834C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(vsebina)</w:t>
      </w:r>
    </w:p>
    <w:p w14:paraId="13D200BC" w14:textId="391567A2" w:rsidR="00F146A8" w:rsidRPr="00F94147" w:rsidRDefault="001E63D5" w:rsidP="00F146A8">
      <w:pPr>
        <w:pStyle w:val="Golobesedilo"/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Z Letnim programom športa za leto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 xml:space="preserve"> (v nadaljevanj</w:t>
      </w:r>
      <w:r w:rsidR="00D7238A" w:rsidRPr="00F94147">
        <w:rPr>
          <w:rFonts w:ascii="Calibri" w:hAnsi="Calibri"/>
          <w:bCs/>
          <w:sz w:val="22"/>
          <w:szCs w:val="22"/>
        </w:rPr>
        <w:t>u</w:t>
      </w:r>
      <w:r w:rsidRPr="00F94147">
        <w:rPr>
          <w:rFonts w:ascii="Calibri" w:hAnsi="Calibri"/>
          <w:bCs/>
          <w:sz w:val="22"/>
          <w:szCs w:val="22"/>
        </w:rPr>
        <w:t>: LPŠ)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Pr="00F94147">
        <w:rPr>
          <w:rFonts w:ascii="Calibri" w:hAnsi="Calibri"/>
          <w:bCs/>
          <w:sz w:val="22"/>
          <w:szCs w:val="22"/>
        </w:rPr>
        <w:t>so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="00D7238A" w:rsidRPr="00F94147">
        <w:rPr>
          <w:rFonts w:ascii="Calibri" w:hAnsi="Calibri"/>
          <w:bCs/>
          <w:sz w:val="22"/>
          <w:szCs w:val="22"/>
        </w:rPr>
        <w:t xml:space="preserve">v Mestni občini Velenje (v nadaljevanju: MOV) v </w:t>
      </w:r>
      <w:r w:rsidR="00F146A8" w:rsidRPr="00F94147">
        <w:rPr>
          <w:rFonts w:ascii="Calibri" w:hAnsi="Calibri"/>
          <w:bCs/>
          <w:sz w:val="22"/>
          <w:szCs w:val="22"/>
        </w:rPr>
        <w:t>skladu z razvojnimi načrti občine</w:t>
      </w:r>
      <w:r w:rsidRPr="00F94147">
        <w:rPr>
          <w:rFonts w:ascii="Calibri" w:hAnsi="Calibri"/>
          <w:bCs/>
          <w:sz w:val="22"/>
          <w:szCs w:val="22"/>
        </w:rPr>
        <w:t>,</w:t>
      </w:r>
      <w:r w:rsidR="00F146A8" w:rsidRPr="00F94147">
        <w:rPr>
          <w:rFonts w:ascii="Calibri" w:hAnsi="Calibri"/>
          <w:bCs/>
          <w:sz w:val="22"/>
          <w:szCs w:val="22"/>
        </w:rPr>
        <w:t xml:space="preserve"> razpoložljivimi sredstvi proračuna ter s kadrovskimi in prostorskimi razmerami v športu </w:t>
      </w:r>
      <w:r w:rsidRPr="00F94147">
        <w:rPr>
          <w:rFonts w:ascii="Calibri" w:hAnsi="Calibri"/>
          <w:bCs/>
          <w:sz w:val="22"/>
          <w:szCs w:val="22"/>
        </w:rPr>
        <w:t>določeni:</w:t>
      </w:r>
    </w:p>
    <w:p w14:paraId="7A72E52A" w14:textId="38B5AE90" w:rsidR="00F146A8" w:rsidRPr="00F94147" w:rsidRDefault="00F146A8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športni program</w:t>
      </w:r>
      <w:r w:rsidR="00F94147" w:rsidRPr="00F94147">
        <w:rPr>
          <w:rFonts w:ascii="Calibri" w:hAnsi="Calibri"/>
          <w:bCs/>
          <w:sz w:val="22"/>
          <w:szCs w:val="22"/>
        </w:rPr>
        <w:t>i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</w:t>
      </w:r>
      <w:r w:rsidR="00FD51D8">
        <w:rPr>
          <w:rFonts w:ascii="Calibri" w:hAnsi="Calibri"/>
          <w:bCs/>
          <w:sz w:val="22"/>
          <w:szCs w:val="22"/>
        </w:rPr>
        <w:t>ja</w:t>
      </w:r>
      <w:r w:rsidRPr="00F94147">
        <w:rPr>
          <w:rFonts w:ascii="Calibri" w:hAnsi="Calibri"/>
          <w:bCs/>
          <w:sz w:val="22"/>
          <w:szCs w:val="22"/>
        </w:rPr>
        <w:t>, ki se sofinancirajo iz občinskega proračuna</w:t>
      </w:r>
      <w:r w:rsidR="00F94147" w:rsidRPr="00F94147">
        <w:rPr>
          <w:rFonts w:ascii="Calibri" w:hAnsi="Calibri"/>
          <w:bCs/>
          <w:sz w:val="22"/>
          <w:szCs w:val="22"/>
        </w:rPr>
        <w:t>,</w:t>
      </w:r>
      <w:r w:rsidRPr="00F94147">
        <w:rPr>
          <w:rFonts w:ascii="Calibri" w:hAnsi="Calibri"/>
          <w:bCs/>
          <w:sz w:val="22"/>
          <w:szCs w:val="22"/>
        </w:rPr>
        <w:t xml:space="preserve"> </w:t>
      </w:r>
    </w:p>
    <w:p w14:paraId="24CE774B" w14:textId="0291EB1D" w:rsidR="00F146A8" w:rsidRPr="00F94147" w:rsidRDefault="00F94147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višina proračunskih </w:t>
      </w:r>
      <w:r w:rsidR="00F146A8" w:rsidRPr="00F94147">
        <w:rPr>
          <w:rFonts w:ascii="Calibri" w:hAnsi="Calibri"/>
          <w:bCs/>
          <w:sz w:val="22"/>
          <w:szCs w:val="22"/>
        </w:rPr>
        <w:t>sredstev za</w:t>
      </w:r>
      <w:r w:rsidRPr="00F94147">
        <w:rPr>
          <w:rFonts w:ascii="Calibri" w:hAnsi="Calibri"/>
          <w:bCs/>
          <w:sz w:val="22"/>
          <w:szCs w:val="22"/>
        </w:rPr>
        <w:t xml:space="preserve"> sofinanciranje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Pr="00F94147">
        <w:rPr>
          <w:rFonts w:ascii="Calibri" w:hAnsi="Calibri"/>
          <w:bCs/>
          <w:sz w:val="22"/>
          <w:szCs w:val="22"/>
        </w:rPr>
        <w:t xml:space="preserve">športnih </w:t>
      </w:r>
      <w:r w:rsidR="00F146A8" w:rsidRPr="00F94147">
        <w:rPr>
          <w:rFonts w:ascii="Calibri" w:hAnsi="Calibri"/>
          <w:bCs/>
          <w:sz w:val="22"/>
          <w:szCs w:val="22"/>
        </w:rPr>
        <w:t>program</w:t>
      </w:r>
      <w:r w:rsidRPr="00F94147">
        <w:rPr>
          <w:rFonts w:ascii="Calibri" w:hAnsi="Calibri"/>
          <w:bCs/>
          <w:sz w:val="22"/>
          <w:szCs w:val="22"/>
        </w:rPr>
        <w:t>ov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="00F146A8" w:rsidRPr="00F94147">
        <w:rPr>
          <w:rFonts w:ascii="Calibri" w:hAnsi="Calibri"/>
          <w:bCs/>
          <w:sz w:val="22"/>
          <w:szCs w:val="22"/>
        </w:rPr>
        <w:t>področ</w:t>
      </w:r>
      <w:r w:rsidRPr="00F94147">
        <w:rPr>
          <w:rFonts w:ascii="Calibri" w:hAnsi="Calibri"/>
          <w:bCs/>
          <w:sz w:val="22"/>
          <w:szCs w:val="22"/>
        </w:rPr>
        <w:t>ij</w:t>
      </w:r>
      <w:r w:rsidR="00F146A8" w:rsidRPr="00F94147">
        <w:rPr>
          <w:rFonts w:ascii="Calibri" w:hAnsi="Calibri"/>
          <w:bCs/>
          <w:sz w:val="22"/>
          <w:szCs w:val="22"/>
        </w:rPr>
        <w:t xml:space="preserve">, </w:t>
      </w:r>
    </w:p>
    <w:p w14:paraId="1FC3359D" w14:textId="7E140A98" w:rsidR="00F94147" w:rsidRPr="00F94147" w:rsidRDefault="00F94147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obseg in vrsto športnih programov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področij</w:t>
      </w:r>
      <w:r w:rsidR="00646EBE">
        <w:rPr>
          <w:rFonts w:ascii="Calibri" w:hAnsi="Calibri"/>
          <w:bCs/>
          <w:sz w:val="22"/>
          <w:szCs w:val="22"/>
        </w:rPr>
        <w:t>,</w:t>
      </w:r>
    </w:p>
    <w:p w14:paraId="75AF0FB1" w14:textId="77777777" w:rsidR="00F146A8" w:rsidRPr="007D67B9" w:rsidRDefault="00F146A8" w:rsidP="00FD51D8">
      <w:pPr>
        <w:pStyle w:val="Golobesedilo"/>
        <w:rPr>
          <w:rFonts w:ascii="Calibri" w:hAnsi="Calibri"/>
          <w:bCs/>
          <w:sz w:val="22"/>
          <w:szCs w:val="32"/>
        </w:rPr>
      </w:pPr>
    </w:p>
    <w:p w14:paraId="57F9F8FA" w14:textId="77777777" w:rsidR="00F146A8" w:rsidRPr="00F94147" w:rsidRDefault="00FD51D8" w:rsidP="00F146A8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="00F146A8" w:rsidRPr="00F94147">
        <w:rPr>
          <w:rFonts w:ascii="Calibri" w:hAnsi="Calibri"/>
          <w:bCs/>
          <w:sz w:val="22"/>
          <w:szCs w:val="22"/>
        </w:rPr>
        <w:t>. člen</w:t>
      </w:r>
    </w:p>
    <w:p w14:paraId="2BD17C71" w14:textId="77777777" w:rsidR="00F146A8" w:rsidRPr="00F94147" w:rsidRDefault="00F146A8" w:rsidP="00F146A8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(</w:t>
      </w:r>
      <w:r w:rsidR="00646EBE">
        <w:rPr>
          <w:rFonts w:ascii="Calibri" w:hAnsi="Calibri"/>
          <w:bCs/>
          <w:sz w:val="22"/>
          <w:szCs w:val="22"/>
        </w:rPr>
        <w:t xml:space="preserve">športni </w:t>
      </w:r>
      <w:r w:rsidRPr="00F94147">
        <w:rPr>
          <w:rFonts w:ascii="Calibri" w:hAnsi="Calibri"/>
          <w:bCs/>
          <w:sz w:val="22"/>
          <w:szCs w:val="22"/>
        </w:rPr>
        <w:t>programi</w:t>
      </w:r>
      <w:r w:rsidR="00646EBE">
        <w:rPr>
          <w:rFonts w:ascii="Calibri" w:hAnsi="Calibri"/>
          <w:bCs/>
          <w:sz w:val="22"/>
          <w:szCs w:val="22"/>
        </w:rPr>
        <w:t>/</w:t>
      </w:r>
      <w:r w:rsidRPr="00F94147">
        <w:rPr>
          <w:rFonts w:ascii="Calibri" w:hAnsi="Calibri"/>
          <w:bCs/>
          <w:sz w:val="22"/>
          <w:szCs w:val="22"/>
        </w:rPr>
        <w:t>področja)</w:t>
      </w:r>
    </w:p>
    <w:p w14:paraId="1E9FCAED" w14:textId="724FC25C" w:rsidR="00F146A8" w:rsidRPr="00F94147" w:rsidRDefault="00F146A8" w:rsidP="00F146A8">
      <w:pPr>
        <w:pStyle w:val="Glava"/>
        <w:tabs>
          <w:tab w:val="clear" w:pos="4536"/>
          <w:tab w:val="clear" w:pos="9072"/>
        </w:tabs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V letu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 xml:space="preserve"> se iz sredstev proračuna </w:t>
      </w:r>
      <w:r w:rsidR="00D7238A" w:rsidRPr="00F94147">
        <w:rPr>
          <w:rFonts w:ascii="Calibri" w:hAnsi="Calibri"/>
          <w:bCs/>
          <w:sz w:val="22"/>
          <w:szCs w:val="22"/>
        </w:rPr>
        <w:t xml:space="preserve">MOV </w:t>
      </w:r>
      <w:r w:rsidRPr="00F94147">
        <w:rPr>
          <w:rFonts w:ascii="Calibri" w:hAnsi="Calibri"/>
          <w:bCs/>
          <w:sz w:val="22"/>
          <w:szCs w:val="22"/>
        </w:rPr>
        <w:t xml:space="preserve">sofinancirajo naslednji </w:t>
      </w:r>
      <w:r w:rsidR="00646EBE">
        <w:rPr>
          <w:rFonts w:ascii="Calibri" w:hAnsi="Calibri"/>
          <w:bCs/>
          <w:sz w:val="22"/>
          <w:szCs w:val="22"/>
        </w:rPr>
        <w:t xml:space="preserve">športni </w:t>
      </w:r>
      <w:r w:rsidRPr="00F94147">
        <w:rPr>
          <w:rFonts w:ascii="Calibri" w:hAnsi="Calibri"/>
          <w:bCs/>
          <w:sz w:val="22"/>
          <w:szCs w:val="22"/>
        </w:rPr>
        <w:t>programi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področja:</w:t>
      </w:r>
    </w:p>
    <w:p w14:paraId="7338B1B3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ŠPORTNI PROGRAMI:</w:t>
      </w:r>
    </w:p>
    <w:p w14:paraId="6106046E" w14:textId="4DE74FE3" w:rsidR="00F146A8" w:rsidRPr="002E660A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Prostočasna športna vzgoja otrok in mladine (</w:t>
      </w:r>
      <w:r w:rsidR="00A55816" w:rsidRPr="002E660A">
        <w:rPr>
          <w:bCs/>
        </w:rPr>
        <w:t>PRO</w:t>
      </w:r>
      <w:r w:rsidR="00481C74">
        <w:rPr>
          <w:bCs/>
        </w:rPr>
        <w:t xml:space="preserve"> in PRI</w:t>
      </w:r>
      <w:r w:rsidRPr="002E660A">
        <w:rPr>
          <w:bCs/>
        </w:rPr>
        <w:t>):</w:t>
      </w:r>
    </w:p>
    <w:p w14:paraId="3EE4D916" w14:textId="35D985B6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za otroke </w:t>
      </w:r>
      <w:r w:rsidR="00632DA1">
        <w:rPr>
          <w:bCs/>
        </w:rPr>
        <w:t>do</w:t>
      </w:r>
      <w:r w:rsidR="005E1764" w:rsidRPr="002E660A">
        <w:rPr>
          <w:bCs/>
        </w:rPr>
        <w:t xml:space="preserve"> 6 </w:t>
      </w:r>
      <w:r w:rsidR="00632DA1">
        <w:rPr>
          <w:bCs/>
        </w:rPr>
        <w:t xml:space="preserve">in </w:t>
      </w:r>
      <w:r w:rsidR="005E1764" w:rsidRPr="002E660A">
        <w:rPr>
          <w:bCs/>
        </w:rPr>
        <w:t>do 15 let</w:t>
      </w:r>
      <w:r w:rsidR="00D7238A" w:rsidRPr="002E660A">
        <w:rPr>
          <w:bCs/>
        </w:rPr>
        <w:t>,</w:t>
      </w:r>
    </w:p>
    <w:p w14:paraId="560D7FB0" w14:textId="26E7AECC" w:rsidR="005E1764" w:rsidRPr="002E660A" w:rsidRDefault="005E1764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celoletni športni programi za mladino od 16 do 19 let,</w:t>
      </w:r>
    </w:p>
    <w:p w14:paraId="212993DE" w14:textId="199E6C5E" w:rsidR="005E1764" w:rsidRPr="002E660A" w:rsidRDefault="005E1764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pripravljalni programi za otroke od </w:t>
      </w:r>
      <w:r w:rsidR="00D036DD" w:rsidRPr="002E660A">
        <w:rPr>
          <w:bCs/>
        </w:rPr>
        <w:t>U</w:t>
      </w:r>
      <w:r w:rsidRPr="002E660A">
        <w:rPr>
          <w:bCs/>
        </w:rPr>
        <w:t>-7 do U-12,</w:t>
      </w:r>
    </w:p>
    <w:p w14:paraId="6C68F4C2" w14:textId="5963354B" w:rsidR="002F67B2" w:rsidRPr="002E660A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občasni športni programi za otroke.</w:t>
      </w:r>
    </w:p>
    <w:p w14:paraId="4E005EC1" w14:textId="7B3E8CE2" w:rsidR="007064FC" w:rsidRPr="002E660A" w:rsidRDefault="007064FC" w:rsidP="007064FC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Prostočasna športna vzgoja otrok s posebnimi potrebami (PP):</w:t>
      </w:r>
    </w:p>
    <w:p w14:paraId="1ACA303F" w14:textId="4CC08FAF" w:rsidR="007064FC" w:rsidRPr="002E660A" w:rsidRDefault="0003529A" w:rsidP="007064FC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c</w:t>
      </w:r>
      <w:r w:rsidR="007064FC" w:rsidRPr="002E660A">
        <w:rPr>
          <w:bCs/>
        </w:rPr>
        <w:t>eloletni športni programi za otroke od 6 do 15 let.</w:t>
      </w:r>
    </w:p>
    <w:p w14:paraId="1182B988" w14:textId="457D99C4" w:rsidR="00F146A8" w:rsidRPr="002E660A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Športna vzgoja otrok in mladine usmerjenih v kakovostni in vrhunski šport (</w:t>
      </w:r>
      <w:r w:rsidR="00A55816" w:rsidRPr="002E660A">
        <w:rPr>
          <w:bCs/>
        </w:rPr>
        <w:t>USM</w:t>
      </w:r>
      <w:r w:rsidR="00BF0CA4" w:rsidRPr="002E660A">
        <w:rPr>
          <w:bCs/>
        </w:rPr>
        <w:t>)</w:t>
      </w:r>
      <w:r w:rsidRPr="002E660A">
        <w:rPr>
          <w:bCs/>
        </w:rPr>
        <w:t>:</w:t>
      </w:r>
    </w:p>
    <w:p w14:paraId="5F143E0B" w14:textId="54CA3A6B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otrok </w:t>
      </w:r>
      <w:r w:rsidR="002F67B2" w:rsidRPr="002E660A">
        <w:rPr>
          <w:bCs/>
        </w:rPr>
        <w:t>U-</w:t>
      </w:r>
      <w:r w:rsidRPr="002E660A">
        <w:rPr>
          <w:bCs/>
        </w:rPr>
        <w:t xml:space="preserve">12/13 in </w:t>
      </w:r>
      <w:r w:rsidR="002F67B2" w:rsidRPr="002E660A">
        <w:rPr>
          <w:bCs/>
        </w:rPr>
        <w:t>U-</w:t>
      </w:r>
      <w:r w:rsidRPr="002E660A">
        <w:rPr>
          <w:bCs/>
        </w:rPr>
        <w:t>14/15 let,</w:t>
      </w:r>
    </w:p>
    <w:p w14:paraId="269D0935" w14:textId="39B4D1AB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mladine </w:t>
      </w:r>
      <w:r w:rsidR="002F67B2" w:rsidRPr="002E660A">
        <w:rPr>
          <w:bCs/>
        </w:rPr>
        <w:t>U-</w:t>
      </w:r>
      <w:r w:rsidRPr="002E660A">
        <w:rPr>
          <w:bCs/>
        </w:rPr>
        <w:t xml:space="preserve">16/17 in </w:t>
      </w:r>
      <w:r w:rsidR="002F67B2" w:rsidRPr="002E660A">
        <w:rPr>
          <w:bCs/>
        </w:rPr>
        <w:t>U-</w:t>
      </w:r>
      <w:r w:rsidRPr="002E660A">
        <w:rPr>
          <w:bCs/>
        </w:rPr>
        <w:t>18/</w:t>
      </w:r>
      <w:r w:rsidR="005340CF">
        <w:rPr>
          <w:bCs/>
        </w:rPr>
        <w:t>20</w:t>
      </w:r>
      <w:r w:rsidRPr="002E660A">
        <w:rPr>
          <w:bCs/>
        </w:rPr>
        <w:t xml:space="preserve"> let.</w:t>
      </w:r>
    </w:p>
    <w:p w14:paraId="71770E97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mladinskega in perspektivnega razreda.</w:t>
      </w:r>
    </w:p>
    <w:p w14:paraId="7F77BCF9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Kakovostni šport (KŠ):</w:t>
      </w:r>
    </w:p>
    <w:p w14:paraId="2F99A20E" w14:textId="77777777" w:rsidR="00F146A8" w:rsidRPr="00F94147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</w:t>
      </w:r>
      <w:r w:rsidR="00F146A8" w:rsidRPr="00F94147">
        <w:rPr>
          <w:bCs/>
        </w:rPr>
        <w:t xml:space="preserve"> </w:t>
      </w:r>
      <w:r w:rsidRPr="00F94147">
        <w:rPr>
          <w:bCs/>
        </w:rPr>
        <w:t xml:space="preserve">športni programi </w:t>
      </w:r>
      <w:r w:rsidR="00F146A8" w:rsidRPr="00F94147">
        <w:rPr>
          <w:bCs/>
        </w:rPr>
        <w:t xml:space="preserve">kakovostnega športa </w:t>
      </w:r>
      <w:r w:rsidR="002779B7" w:rsidRPr="00F94147">
        <w:rPr>
          <w:bCs/>
        </w:rPr>
        <w:t>odraslih</w:t>
      </w:r>
      <w:r w:rsidR="00F146A8" w:rsidRPr="00F94147">
        <w:rPr>
          <w:bCs/>
        </w:rPr>
        <w:t>,</w:t>
      </w:r>
    </w:p>
    <w:p w14:paraId="3BEF533F" w14:textId="77777777" w:rsidR="00AB4751" w:rsidRDefault="00F146A8" w:rsidP="00AB4751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državnega razreda</w:t>
      </w:r>
      <w:r w:rsidR="00AB4751">
        <w:rPr>
          <w:bCs/>
        </w:rPr>
        <w:t>,</w:t>
      </w:r>
    </w:p>
    <w:p w14:paraId="33EAC7D5" w14:textId="648A42D5" w:rsidR="00F146A8" w:rsidRPr="00AB4751" w:rsidRDefault="00AB4751" w:rsidP="00AB4751">
      <w:pPr>
        <w:pStyle w:val="Brezrazmikov"/>
        <w:numPr>
          <w:ilvl w:val="1"/>
          <w:numId w:val="7"/>
        </w:numPr>
        <w:jc w:val="both"/>
        <w:rPr>
          <w:bCs/>
        </w:rPr>
      </w:pPr>
      <w:r>
        <w:rPr>
          <w:bCs/>
        </w:rPr>
        <w:t>nadpovprečni športni dosežki.</w:t>
      </w:r>
    </w:p>
    <w:p w14:paraId="5100FA90" w14:textId="77777777" w:rsidR="002F67B2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Vrhunski šport:</w:t>
      </w:r>
    </w:p>
    <w:p w14:paraId="2D994B64" w14:textId="6F698759" w:rsidR="002F67B2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mednarodnega, svetovnega in olimpijskega razreda</w:t>
      </w:r>
      <w:r w:rsidR="00AB4751">
        <w:rPr>
          <w:bCs/>
        </w:rPr>
        <w:t>.</w:t>
      </w:r>
    </w:p>
    <w:p w14:paraId="6CEE1670" w14:textId="77777777" w:rsidR="002F67B2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 invalidov (ŠI):</w:t>
      </w:r>
    </w:p>
    <w:p w14:paraId="04DFC219" w14:textId="77777777" w:rsidR="002F67B2" w:rsidRPr="00F94147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invalidov.</w:t>
      </w:r>
    </w:p>
    <w:p w14:paraId="1725F2DB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Športna rekreacija (RE):</w:t>
      </w:r>
    </w:p>
    <w:p w14:paraId="25E270C2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za odrasle.</w:t>
      </w:r>
    </w:p>
    <w:p w14:paraId="7B0C9AF7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 starejših (</w:t>
      </w:r>
      <w:proofErr w:type="spellStart"/>
      <w:r w:rsidRPr="00F94147">
        <w:rPr>
          <w:bCs/>
        </w:rPr>
        <w:t>ŠSta</w:t>
      </w:r>
      <w:proofErr w:type="spellEnd"/>
      <w:r w:rsidRPr="00F94147">
        <w:rPr>
          <w:bCs/>
        </w:rPr>
        <w:t>):</w:t>
      </w:r>
    </w:p>
    <w:p w14:paraId="2DA1E36D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za starejše.</w:t>
      </w:r>
    </w:p>
    <w:p w14:paraId="369EA371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ŠPORTNI OBJEKTI IN POVRŠINE ZA ŠPORT V NARAVI:</w:t>
      </w:r>
    </w:p>
    <w:p w14:paraId="7EF0ED87" w14:textId="2A57DC62" w:rsidR="00F146A8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investicije, obnova</w:t>
      </w:r>
      <w:r w:rsidR="00DD525B">
        <w:rPr>
          <w:bCs/>
        </w:rPr>
        <w:t>, obratovanje</w:t>
      </w:r>
      <w:r w:rsidRPr="00F94147">
        <w:rPr>
          <w:bCs/>
        </w:rPr>
        <w:t xml:space="preserve"> in vzdrževanje športne infrastrukture</w:t>
      </w:r>
      <w:r w:rsidR="006C2951" w:rsidRPr="00F94147">
        <w:rPr>
          <w:bCs/>
        </w:rPr>
        <w:t>.</w:t>
      </w:r>
    </w:p>
    <w:p w14:paraId="7BD55F2E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RAZVOJNE DEJAVNOSTI V ŠPORTU:</w:t>
      </w:r>
    </w:p>
    <w:p w14:paraId="43B173C1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izpopolnjevanje </w:t>
      </w:r>
      <w:r w:rsidR="002F67B2" w:rsidRPr="00F94147">
        <w:rPr>
          <w:bCs/>
        </w:rPr>
        <w:t xml:space="preserve">in usposabljanje </w:t>
      </w:r>
      <w:r w:rsidR="006C2951" w:rsidRPr="00F94147">
        <w:rPr>
          <w:bCs/>
        </w:rPr>
        <w:t>strokovnih</w:t>
      </w:r>
      <w:r w:rsidRPr="00F94147">
        <w:rPr>
          <w:bCs/>
        </w:rPr>
        <w:t xml:space="preserve"> kadrov</w:t>
      </w:r>
      <w:r w:rsidR="006C2951" w:rsidRPr="00F94147">
        <w:rPr>
          <w:bCs/>
        </w:rPr>
        <w:t xml:space="preserve"> v športu</w:t>
      </w:r>
      <w:r w:rsidRPr="00F94147">
        <w:rPr>
          <w:bCs/>
        </w:rPr>
        <w:t>,</w:t>
      </w:r>
    </w:p>
    <w:p w14:paraId="09B27953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strokovna in informacijska podpora upravljanju športa. </w:t>
      </w:r>
    </w:p>
    <w:p w14:paraId="1EE52033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ORGANIZIRANOST V ŠPORTU:</w:t>
      </w:r>
    </w:p>
    <w:p w14:paraId="5710FD19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lastRenderedPageBreak/>
        <w:t xml:space="preserve">delovanje športnih </w:t>
      </w:r>
      <w:r w:rsidR="006C2951" w:rsidRPr="00F94147">
        <w:rPr>
          <w:bCs/>
        </w:rPr>
        <w:t xml:space="preserve">klubov, </w:t>
      </w:r>
      <w:r w:rsidRPr="00F94147">
        <w:rPr>
          <w:bCs/>
        </w:rPr>
        <w:t>društev</w:t>
      </w:r>
      <w:r w:rsidR="006C2951" w:rsidRPr="00F94147">
        <w:rPr>
          <w:bCs/>
        </w:rPr>
        <w:t xml:space="preserve"> in njihovih zvez,</w:t>
      </w:r>
    </w:p>
    <w:p w14:paraId="41CA873E" w14:textId="572D928F" w:rsidR="006C2951" w:rsidRPr="00F94147" w:rsidRDefault="006C2951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delovanje </w:t>
      </w:r>
      <w:r w:rsidR="00D34088">
        <w:rPr>
          <w:bCs/>
        </w:rPr>
        <w:t>ŠRZ</w:t>
      </w:r>
      <w:r w:rsidRPr="00F94147">
        <w:rPr>
          <w:bCs/>
        </w:rPr>
        <w:t xml:space="preserve"> Rdeča dvorana.</w:t>
      </w:r>
    </w:p>
    <w:p w14:paraId="11B3233A" w14:textId="372F9D51" w:rsidR="006C2951" w:rsidRPr="00F94147" w:rsidRDefault="006C2951" w:rsidP="006C2951">
      <w:pPr>
        <w:pStyle w:val="Brezrazmikov"/>
        <w:jc w:val="both"/>
        <w:rPr>
          <w:bCs/>
        </w:rPr>
      </w:pPr>
      <w:r w:rsidRPr="00F94147">
        <w:rPr>
          <w:bCs/>
        </w:rPr>
        <w:t>ŠPORTNE PRIREDITVE IN ŠPORTNA PROMOCIJA:</w:t>
      </w:r>
    </w:p>
    <w:p w14:paraId="205B2969" w14:textId="77777777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mednarodne, državne in občinske športne prireditve.</w:t>
      </w:r>
    </w:p>
    <w:p w14:paraId="6450639B" w14:textId="77777777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prireditev ob podelitvi priznanj v športu,</w:t>
      </w:r>
    </w:p>
    <w:p w14:paraId="7B0A0F91" w14:textId="2E6D64D1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mednarodne igre šolarjev</w:t>
      </w:r>
      <w:r w:rsidR="00AB4751">
        <w:rPr>
          <w:bCs/>
        </w:rPr>
        <w:t>.</w:t>
      </w:r>
    </w:p>
    <w:p w14:paraId="5486C355" w14:textId="77777777" w:rsidR="00F146A8" w:rsidRPr="007D67B9" w:rsidRDefault="00F146A8" w:rsidP="00F146A8">
      <w:pPr>
        <w:jc w:val="both"/>
        <w:rPr>
          <w:rFonts w:ascii="Calibri" w:hAnsi="Calibri"/>
          <w:bCs/>
          <w:szCs w:val="22"/>
        </w:rPr>
      </w:pPr>
    </w:p>
    <w:p w14:paraId="51007F2D" w14:textId="77777777" w:rsidR="00F146A8" w:rsidRPr="00F94147" w:rsidRDefault="00646EBE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="00F146A8" w:rsidRPr="00F94147">
        <w:rPr>
          <w:rFonts w:ascii="Calibri" w:hAnsi="Calibri"/>
          <w:bCs/>
        </w:rPr>
        <w:t>. člen</w:t>
      </w:r>
    </w:p>
    <w:p w14:paraId="1B1BBF63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(višina proračunskih sredstev</w:t>
      </w:r>
      <w:r w:rsidR="00B30D87">
        <w:rPr>
          <w:rFonts w:ascii="Calibri" w:hAnsi="Calibri"/>
          <w:bCs/>
        </w:rPr>
        <w:t xml:space="preserve"> in način zagotavljanja sredstev</w:t>
      </w:r>
      <w:r w:rsidRPr="00F94147">
        <w:rPr>
          <w:rFonts w:ascii="Calibri" w:hAnsi="Calibri"/>
          <w:bCs/>
        </w:rPr>
        <w:t>)</w:t>
      </w:r>
    </w:p>
    <w:p w14:paraId="1289EADF" w14:textId="4B66289C" w:rsidR="00F146A8" w:rsidRDefault="006C2951" w:rsidP="00F146A8">
      <w:pPr>
        <w:jc w:val="both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Iz proračuna MOV se</w:t>
      </w:r>
      <w:r w:rsidR="00646EBE">
        <w:rPr>
          <w:rFonts w:ascii="Calibri" w:hAnsi="Calibri"/>
          <w:bCs/>
        </w:rPr>
        <w:t xml:space="preserve"> </w:t>
      </w:r>
      <w:r w:rsidRPr="00F94147">
        <w:rPr>
          <w:rFonts w:ascii="Calibri" w:hAnsi="Calibri"/>
          <w:bCs/>
        </w:rPr>
        <w:t xml:space="preserve">za sofinanciranje LPŠ </w:t>
      </w:r>
      <w:r w:rsidR="00632DA1">
        <w:rPr>
          <w:rFonts w:ascii="Calibri" w:hAnsi="Calibri"/>
          <w:bCs/>
        </w:rPr>
        <w:t>2025</w:t>
      </w:r>
      <w:r w:rsidRPr="00F94147">
        <w:rPr>
          <w:rFonts w:ascii="Calibri" w:hAnsi="Calibri"/>
          <w:bCs/>
        </w:rPr>
        <w:t xml:space="preserve"> </w:t>
      </w:r>
      <w:r w:rsidRPr="00615058">
        <w:rPr>
          <w:rFonts w:ascii="Calibri" w:hAnsi="Calibri"/>
          <w:bCs/>
        </w:rPr>
        <w:t>zagotovi</w:t>
      </w:r>
      <w:r w:rsidR="006D4DAD" w:rsidRPr="00615058">
        <w:rPr>
          <w:rFonts w:ascii="Calibri" w:hAnsi="Calibri"/>
          <w:bCs/>
        </w:rPr>
        <w:t xml:space="preserve"> </w:t>
      </w:r>
      <w:r w:rsidR="00481C74">
        <w:rPr>
          <w:rFonts w:ascii="Calibri" w:hAnsi="Calibri"/>
          <w:bCs/>
          <w:sz w:val="28"/>
          <w:szCs w:val="24"/>
        </w:rPr>
        <w:t>3.</w:t>
      </w:r>
      <w:r w:rsidR="003F1066">
        <w:rPr>
          <w:rFonts w:ascii="Calibri" w:hAnsi="Calibri"/>
          <w:bCs/>
          <w:sz w:val="28"/>
          <w:szCs w:val="24"/>
        </w:rPr>
        <w:t>9</w:t>
      </w:r>
      <w:r w:rsidR="00E86531">
        <w:rPr>
          <w:rFonts w:ascii="Calibri" w:hAnsi="Calibri"/>
          <w:bCs/>
          <w:sz w:val="28"/>
          <w:szCs w:val="24"/>
        </w:rPr>
        <w:t>3</w:t>
      </w:r>
      <w:r w:rsidR="009A6FBA">
        <w:rPr>
          <w:rFonts w:ascii="Calibri" w:hAnsi="Calibri"/>
          <w:bCs/>
          <w:sz w:val="28"/>
          <w:szCs w:val="24"/>
        </w:rPr>
        <w:t>3.</w:t>
      </w:r>
      <w:r w:rsidR="002944F1">
        <w:rPr>
          <w:rFonts w:ascii="Calibri" w:hAnsi="Calibri"/>
          <w:bCs/>
          <w:sz w:val="28"/>
          <w:szCs w:val="24"/>
        </w:rPr>
        <w:t>016</w:t>
      </w:r>
      <w:r w:rsidR="009A6FBA">
        <w:rPr>
          <w:rFonts w:ascii="Calibri" w:hAnsi="Calibri"/>
          <w:bCs/>
          <w:sz w:val="28"/>
          <w:szCs w:val="24"/>
        </w:rPr>
        <w:t>,</w:t>
      </w:r>
      <w:r w:rsidR="002944F1">
        <w:rPr>
          <w:rFonts w:ascii="Calibri" w:hAnsi="Calibri"/>
          <w:bCs/>
          <w:sz w:val="28"/>
          <w:szCs w:val="24"/>
        </w:rPr>
        <w:t>08</w:t>
      </w:r>
      <w:r w:rsidR="00CB6759">
        <w:rPr>
          <w:rFonts w:ascii="Calibri" w:hAnsi="Calibri"/>
          <w:bCs/>
          <w:sz w:val="28"/>
          <w:szCs w:val="24"/>
        </w:rPr>
        <w:t xml:space="preserve"> €</w:t>
      </w:r>
      <w:r w:rsidR="006D4DAD">
        <w:rPr>
          <w:rFonts w:ascii="Calibri" w:hAnsi="Calibri"/>
          <w:bCs/>
        </w:rPr>
        <w:t xml:space="preserve"> in sicer</w:t>
      </w:r>
      <w:r w:rsidRPr="00F94147">
        <w:rPr>
          <w:rFonts w:ascii="Calibri" w:hAnsi="Calibri"/>
          <w:bCs/>
        </w:rPr>
        <w:t>:</w:t>
      </w:r>
    </w:p>
    <w:p w14:paraId="1CBEF700" w14:textId="77777777" w:rsidR="007D67B9" w:rsidRDefault="007D67B9" w:rsidP="00F146A8">
      <w:pPr>
        <w:jc w:val="both"/>
        <w:rPr>
          <w:rFonts w:ascii="Calibri" w:hAnsi="Calibri"/>
          <w:bCs/>
          <w:sz w:val="10"/>
          <w:szCs w:val="10"/>
        </w:rPr>
      </w:pPr>
    </w:p>
    <w:tbl>
      <w:tblPr>
        <w:tblW w:w="10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34"/>
        <w:gridCol w:w="1701"/>
        <w:gridCol w:w="850"/>
        <w:gridCol w:w="65"/>
      </w:tblGrid>
      <w:tr w:rsidR="003F1066" w:rsidRPr="003F1066" w14:paraId="5B6A6B50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50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3F1066">
              <w:rPr>
                <w:rFonts w:ascii="Calibri" w:hAnsi="Calibri" w:cs="Calibri"/>
                <w:sz w:val="30"/>
                <w:szCs w:val="30"/>
                <w:lang w:eastAsia="sl-SI"/>
              </w:rPr>
              <w:t>SREDSTVA JAVNEGA RAZPISA:</w:t>
            </w: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                                                                                     tekoči transferji neprofitnim organizacijam in ustanovam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04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14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51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3F1066" w:rsidRPr="003F1066" w14:paraId="317CF039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CA3D4D9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B2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prostočasni programi otrok: 6 do 15 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F1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4D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33.500,00 €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4A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6,20%</w:t>
            </w:r>
          </w:p>
        </w:tc>
      </w:tr>
      <w:tr w:rsidR="003F1066" w:rsidRPr="003F1066" w14:paraId="645742C4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1187B99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B9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prostočasni programi mladine: 16 do 19 let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D35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ED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31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1,11%</w:t>
            </w:r>
          </w:p>
        </w:tc>
      </w:tr>
      <w:tr w:rsidR="003F1066" w:rsidRPr="003F1066" w14:paraId="1558E55F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2A9567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17F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pripravljalni programi otrok: U-7 do U-11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5C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9B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34.000,00 €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D83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6,30%</w:t>
            </w:r>
          </w:p>
        </w:tc>
      </w:tr>
      <w:tr w:rsidR="003F1066" w:rsidRPr="003F1066" w14:paraId="09F767F2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E642BA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PP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938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otrok in mladine s posebnimi potrebami: 6 do 19 let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F8FE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55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6.550,00 €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EA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1,21%</w:t>
            </w:r>
          </w:p>
        </w:tc>
      </w:tr>
      <w:tr w:rsidR="003F1066" w:rsidRPr="003F1066" w14:paraId="07BFCA61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35B66E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USM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E03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otrok usmerjenih v KŠ/VŠ: U-12/13 in U14/15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2F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37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40.000,00 €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C4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7,41%</w:t>
            </w:r>
          </w:p>
        </w:tc>
      </w:tr>
      <w:tr w:rsidR="003F1066" w:rsidRPr="003F1066" w14:paraId="0B04DFCB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3C39C0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USM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8C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celoletni programi mladine usmerjene v KŠ/VŠ  U-16/17, U18/20 in MLR, PR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17F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5E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45.000,00 €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39D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8,33%</w:t>
            </w:r>
          </w:p>
        </w:tc>
      </w:tr>
      <w:tr w:rsidR="003F1066" w:rsidRPr="003F1066" w14:paraId="6F24F1AC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50A328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KŠ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A3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kakovostnega športa odraslih In kategorizirani DR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ACC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BAE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16.100,00 €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BA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2,98%</w:t>
            </w:r>
          </w:p>
        </w:tc>
      </w:tr>
      <w:tr w:rsidR="003F1066" w:rsidRPr="003F1066" w14:paraId="7F43FCFF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7584DE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VŠ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A6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dodatni programi kategoriziranih športnikov: MR, SR, OR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0B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49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12.500,00 €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25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2,31%</w:t>
            </w:r>
          </w:p>
        </w:tc>
      </w:tr>
      <w:tr w:rsidR="003F1066" w:rsidRPr="003F1066" w14:paraId="0185504D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E4DBF1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ŠI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A52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invalidov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741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16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AD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1,02%</w:t>
            </w:r>
          </w:p>
        </w:tc>
      </w:tr>
      <w:tr w:rsidR="003F1066" w:rsidRPr="003F1066" w14:paraId="212F8459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26651C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EF3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odraslih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C5E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EB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23.350,00 €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D2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4,32%</w:t>
            </w:r>
          </w:p>
        </w:tc>
      </w:tr>
      <w:tr w:rsidR="003F1066" w:rsidRPr="003F1066" w14:paraId="7EA30BBD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36F5002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ŠSTA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BDC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starejših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A04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E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22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0,56%</w:t>
            </w:r>
          </w:p>
        </w:tc>
      </w:tr>
      <w:tr w:rsidR="003F1066" w:rsidRPr="003F1066" w14:paraId="02A267FB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5006463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10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delovanje športnih društev in klubov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F56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D7D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90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1,11%</w:t>
            </w:r>
          </w:p>
        </w:tc>
      </w:tr>
      <w:tr w:rsidR="003F1066" w:rsidRPr="003F1066" w14:paraId="22711E4A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B7BA8C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4A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mednarodne, državne in občinske športne prireditve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8420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731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8.500,00 €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E1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1,57%</w:t>
            </w:r>
          </w:p>
        </w:tc>
      </w:tr>
      <w:tr w:rsidR="003F1066" w:rsidRPr="003F1066" w14:paraId="0019F9F0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8A3CB1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KŠ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BCEC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nagrade za nadpovprečne športne dosežke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9C1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5F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300.000,00 €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44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55,56%</w:t>
            </w:r>
          </w:p>
        </w:tc>
      </w:tr>
      <w:tr w:rsidR="003F1066" w:rsidRPr="003F1066" w14:paraId="115A8B5A" w14:textId="77777777" w:rsidTr="003F1066">
        <w:trPr>
          <w:trHeight w:val="255"/>
          <w:jc w:val="center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623F6" w14:textId="51821D46" w:rsidR="003F1066" w:rsidRPr="003F1066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SKUPAJ PROGRAMI IN PODROČJA: JAVNI RAZPIS 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20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540.000,00 €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7E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3F1066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62015735" w14:textId="77777777" w:rsidR="00481C74" w:rsidRPr="003F1066" w:rsidRDefault="00481C74" w:rsidP="003F1066">
      <w:pPr>
        <w:jc w:val="center"/>
        <w:rPr>
          <w:rFonts w:ascii="Calibri" w:hAnsi="Calibri"/>
          <w:bCs/>
          <w:sz w:val="21"/>
          <w:szCs w:val="21"/>
        </w:rPr>
      </w:pPr>
      <w:r w:rsidRPr="003F1066">
        <w:rPr>
          <w:rFonts w:ascii="Calibri" w:hAnsi="Calibri"/>
          <w:bCs/>
          <w:sz w:val="21"/>
          <w:szCs w:val="21"/>
        </w:rPr>
        <w:t>preglednica št. 1</w:t>
      </w:r>
    </w:p>
    <w:p w14:paraId="47759343" w14:textId="77777777" w:rsidR="00012FF6" w:rsidRPr="00872545" w:rsidRDefault="00012FF6" w:rsidP="00F146A8">
      <w:pPr>
        <w:rPr>
          <w:rFonts w:ascii="Calibri" w:hAnsi="Calibri"/>
          <w:bCs/>
          <w:sz w:val="16"/>
          <w:szCs w:val="16"/>
        </w:rPr>
      </w:pPr>
    </w:p>
    <w:p w14:paraId="4B6D86AC" w14:textId="379D8E54" w:rsidR="00012FF6" w:rsidRDefault="00B30D87" w:rsidP="00B30D8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F94147">
        <w:rPr>
          <w:rFonts w:ascii="Calibri" w:hAnsi="Calibri"/>
          <w:bCs/>
        </w:rPr>
        <w:t>redstva za sofinanciranje športnih programov</w:t>
      </w:r>
      <w:r w:rsidR="004C5B86">
        <w:rPr>
          <w:rFonts w:ascii="Calibri" w:hAnsi="Calibri"/>
          <w:bCs/>
        </w:rPr>
        <w:t xml:space="preserve"> in </w:t>
      </w:r>
      <w:r w:rsidRPr="00F94147">
        <w:rPr>
          <w:rFonts w:ascii="Calibri" w:hAnsi="Calibri"/>
          <w:bCs/>
        </w:rPr>
        <w:t>področij</w:t>
      </w:r>
      <w:r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012FF6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 št.</w:t>
      </w:r>
      <w:r w:rsidR="00012FF6">
        <w:rPr>
          <w:rFonts w:ascii="Calibri" w:hAnsi="Calibri"/>
          <w:bCs/>
        </w:rPr>
        <w:t>1</w:t>
      </w:r>
      <w:r w:rsidR="00AA607D">
        <w:rPr>
          <w:rFonts w:ascii="Calibri" w:hAnsi="Calibri"/>
          <w:bCs/>
        </w:rPr>
        <w:t>)</w:t>
      </w:r>
      <w:r w:rsidR="00012FF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se zagotovijo </w:t>
      </w:r>
      <w:r w:rsidR="00AA607D">
        <w:rPr>
          <w:rFonts w:ascii="Calibri" w:hAnsi="Calibri"/>
          <w:bCs/>
        </w:rPr>
        <w:t>z izvedbo</w:t>
      </w:r>
      <w:r>
        <w:rPr>
          <w:rFonts w:ascii="Calibri" w:hAnsi="Calibri"/>
          <w:bCs/>
        </w:rPr>
        <w:t xml:space="preserve"> javnega razpisa in pogo</w:t>
      </w:r>
      <w:r w:rsidR="00E65CA1">
        <w:rPr>
          <w:rFonts w:ascii="Calibri" w:hAnsi="Calibri"/>
          <w:bCs/>
        </w:rPr>
        <w:t>db</w:t>
      </w:r>
      <w:r w:rsidRPr="00F94147">
        <w:rPr>
          <w:rFonts w:ascii="Calibri" w:hAnsi="Calibri"/>
          <w:bCs/>
        </w:rPr>
        <w:t>, ki jih župan podpiše z izbranimi izvajalci.</w:t>
      </w:r>
    </w:p>
    <w:p w14:paraId="6653BE54" w14:textId="77777777" w:rsidR="003F1066" w:rsidRPr="00872545" w:rsidRDefault="003F1066" w:rsidP="00B30D87">
      <w:pPr>
        <w:jc w:val="both"/>
        <w:rPr>
          <w:rFonts w:ascii="Calibri" w:hAnsi="Calibri"/>
          <w:bCs/>
          <w:szCs w:val="22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3F1066" w:rsidRPr="003F1066" w14:paraId="565A4D4B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82C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3F1066">
              <w:rPr>
                <w:rFonts w:ascii="Calibri" w:hAnsi="Calibri" w:cs="Calibri"/>
                <w:sz w:val="30"/>
                <w:szCs w:val="30"/>
                <w:lang w:eastAsia="sl-SI"/>
              </w:rPr>
              <w:t xml:space="preserve">SKUPNI IZBRANI PROGRAMI IN PODROČJA:                           </w:t>
            </w: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tekoči transferji neprofitnim organizacijam in ustanovam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EB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13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20A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3F1066" w:rsidRPr="003F1066" w14:paraId="555AC136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15410E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C3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Naučimo se plavati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8F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40318165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E4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11.000,00 €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BC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3,57%</w:t>
            </w:r>
          </w:p>
        </w:tc>
      </w:tr>
      <w:tr w:rsidR="003F1066" w:rsidRPr="003F1066" w14:paraId="48B253F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5B325F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792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Naučimo se smučati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2967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B8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916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17,83%</w:t>
            </w:r>
          </w:p>
        </w:tc>
      </w:tr>
      <w:tr w:rsidR="003F1066" w:rsidRPr="003F1066" w14:paraId="4384912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C4B322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1DB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Počitnice in pouka prosti dnevi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870AD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8E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28.000,00 €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76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9,08%</w:t>
            </w:r>
          </w:p>
        </w:tc>
      </w:tr>
      <w:tr w:rsidR="003F1066" w:rsidRPr="003F1066" w14:paraId="52589218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FC267BA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387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Šolska športna tekmovanja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DFF29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32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FB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36,30%</w:t>
            </w:r>
          </w:p>
        </w:tc>
      </w:tr>
      <w:tr w:rsidR="003F1066" w:rsidRPr="003F1066" w14:paraId="7476DE2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AE9718C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VŠ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EA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Pospeševanje vrhunskega športa (interni razpis)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F1E39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49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40.000,00 €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D3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12,97%</w:t>
            </w:r>
          </w:p>
        </w:tc>
      </w:tr>
      <w:tr w:rsidR="003F1066" w:rsidRPr="003F1066" w14:paraId="40DDFA4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F350B8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RAZVOJ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A98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usposabljanje in izpopolnjevanje v športu (interni razpis)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8DD2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86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E7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1,94%</w:t>
            </w:r>
          </w:p>
        </w:tc>
      </w:tr>
      <w:tr w:rsidR="003F1066" w:rsidRPr="003F1066" w14:paraId="2472E3B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ED6E6C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RAZVOJ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074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strokovna in informacijska podpora upravljanju športa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E0007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E18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AC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1,78%</w:t>
            </w:r>
          </w:p>
        </w:tc>
      </w:tr>
      <w:tr w:rsidR="003F1066" w:rsidRPr="003F1066" w14:paraId="3166C5D5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6697C0D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47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delovanje Športe zveze Velenje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B9184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C9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14.000,00 €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2D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4,54%</w:t>
            </w:r>
          </w:p>
        </w:tc>
      </w:tr>
      <w:tr w:rsidR="003F1066" w:rsidRPr="003F1066" w14:paraId="7C967937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4EC03C4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0C3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prireditev ob podelitvi priznanj v športu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C78AD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48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4B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3,89%</w:t>
            </w:r>
          </w:p>
        </w:tc>
      </w:tr>
      <w:tr w:rsidR="003F1066" w:rsidRPr="003F1066" w14:paraId="6864610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3B53E46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0A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mednarodne igre šolarjev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C877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B6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3E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8,10%</w:t>
            </w:r>
          </w:p>
        </w:tc>
      </w:tr>
      <w:tr w:rsidR="003F1066" w:rsidRPr="003F1066" w14:paraId="680266BA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B91AD" w14:textId="3A446CDC" w:rsidR="003F1066" w:rsidRPr="003F1066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SKUPAJ PROGRAMI IN PODROČJA: JAVNI RAZPIS -2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9E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308.500,00 €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E0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3F1066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48329819" w14:textId="60333517" w:rsidR="00012FF6" w:rsidRPr="00872545" w:rsidRDefault="00012FF6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2</w:t>
      </w:r>
    </w:p>
    <w:p w14:paraId="5E8C01FB" w14:textId="77777777" w:rsidR="002B3FEE" w:rsidRPr="00872545" w:rsidRDefault="002B3FEE" w:rsidP="00F146A8">
      <w:pPr>
        <w:rPr>
          <w:rFonts w:ascii="Calibri" w:hAnsi="Calibri"/>
          <w:bCs/>
          <w:sz w:val="16"/>
          <w:szCs w:val="16"/>
        </w:rPr>
      </w:pPr>
    </w:p>
    <w:p w14:paraId="4AED9B6F" w14:textId="62E8E173" w:rsidR="00872545" w:rsidRDefault="00E65CA1" w:rsidP="00872545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F94147">
        <w:rPr>
          <w:rFonts w:ascii="Calibri" w:hAnsi="Calibri"/>
          <w:bCs/>
        </w:rPr>
        <w:t>redstva za sofinanciranje športnih programov</w:t>
      </w:r>
      <w:r w:rsidR="004C5B86">
        <w:rPr>
          <w:rFonts w:ascii="Calibri" w:hAnsi="Calibri"/>
          <w:bCs/>
        </w:rPr>
        <w:t xml:space="preserve"> in </w:t>
      </w:r>
      <w:r w:rsidRPr="00F94147">
        <w:rPr>
          <w:rFonts w:ascii="Calibri" w:hAnsi="Calibri"/>
          <w:bCs/>
        </w:rPr>
        <w:t>področij</w:t>
      </w:r>
      <w:r w:rsidR="00012FF6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012FF6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 št.</w:t>
      </w:r>
      <w:r w:rsidR="00012FF6">
        <w:rPr>
          <w:rFonts w:ascii="Calibri" w:hAnsi="Calibri"/>
          <w:bCs/>
        </w:rPr>
        <w:t xml:space="preserve"> 2</w:t>
      </w:r>
      <w:r w:rsidR="00AA607D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se zagotovijo </w:t>
      </w:r>
      <w:r w:rsidR="00872545">
        <w:rPr>
          <w:rFonts w:ascii="Calibri" w:hAnsi="Calibri"/>
          <w:bCs/>
        </w:rPr>
        <w:t>z izvedbo javnega razpisa in pogodb</w:t>
      </w:r>
      <w:r w:rsidR="00872545" w:rsidRPr="00F94147">
        <w:rPr>
          <w:rFonts w:ascii="Calibri" w:hAnsi="Calibri"/>
          <w:bCs/>
        </w:rPr>
        <w:t>, ki jih župan podpiše z izbranim izvajalc</w:t>
      </w:r>
      <w:r w:rsidR="00872545">
        <w:rPr>
          <w:rFonts w:ascii="Calibri" w:hAnsi="Calibri"/>
          <w:bCs/>
        </w:rPr>
        <w:t>em</w:t>
      </w:r>
      <w:r w:rsidR="00872545" w:rsidRPr="00F94147">
        <w:rPr>
          <w:rFonts w:ascii="Calibri" w:hAnsi="Calibri"/>
          <w:bCs/>
        </w:rPr>
        <w:t>.</w:t>
      </w:r>
    </w:p>
    <w:p w14:paraId="161C1073" w14:textId="1870CE17" w:rsidR="007D67B9" w:rsidRDefault="007D67B9" w:rsidP="0033315B">
      <w:pPr>
        <w:jc w:val="both"/>
        <w:rPr>
          <w:rFonts w:ascii="Calibri" w:hAnsi="Calibri"/>
          <w:bCs/>
        </w:rPr>
      </w:pPr>
    </w:p>
    <w:p w14:paraId="0E99AC68" w14:textId="77777777" w:rsidR="00872545" w:rsidRDefault="00872545" w:rsidP="0033315B">
      <w:pPr>
        <w:jc w:val="both"/>
        <w:rPr>
          <w:rFonts w:ascii="Calibri" w:hAnsi="Calibri"/>
          <w:bCs/>
        </w:rPr>
      </w:pPr>
    </w:p>
    <w:p w14:paraId="62B4CBA4" w14:textId="77777777" w:rsidR="00E86531" w:rsidRDefault="00E86531" w:rsidP="009A6FBA">
      <w:pPr>
        <w:jc w:val="center"/>
        <w:rPr>
          <w:rFonts w:ascii="Calibri" w:hAnsi="Calibri"/>
          <w:bCs/>
          <w:sz w:val="21"/>
          <w:szCs w:val="21"/>
        </w:rPr>
      </w:pPr>
    </w:p>
    <w:p w14:paraId="78C94798" w14:textId="69F0FF36" w:rsidR="00E86531" w:rsidRDefault="00E86531" w:rsidP="009A6FBA">
      <w:pPr>
        <w:jc w:val="center"/>
        <w:rPr>
          <w:rFonts w:ascii="Calibri" w:hAnsi="Calibri"/>
          <w:bCs/>
          <w:sz w:val="21"/>
          <w:szCs w:val="21"/>
        </w:rPr>
      </w:pPr>
      <w:r w:rsidRPr="00E86531">
        <w:rPr>
          <w:noProof/>
        </w:rPr>
        <w:drawing>
          <wp:inline distT="0" distB="0" distL="0" distR="0" wp14:anchorId="7EAF00BE" wp14:editId="6FFC46BB">
            <wp:extent cx="6479540" cy="2177415"/>
            <wp:effectExtent l="0" t="0" r="0" b="0"/>
            <wp:docPr id="17973171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BFFD" w14:textId="4CF5479E" w:rsidR="007D67B9" w:rsidRPr="00872545" w:rsidRDefault="007D67B9" w:rsidP="009A6FBA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3</w:t>
      </w:r>
    </w:p>
    <w:p w14:paraId="0E574E29" w14:textId="77777777" w:rsidR="00E65CA1" w:rsidRPr="00872545" w:rsidRDefault="00E65CA1" w:rsidP="00F146A8">
      <w:pPr>
        <w:rPr>
          <w:rFonts w:ascii="Calibri" w:hAnsi="Calibri"/>
          <w:bCs/>
          <w:sz w:val="16"/>
          <w:szCs w:val="16"/>
        </w:rPr>
      </w:pPr>
    </w:p>
    <w:p w14:paraId="465E2C92" w14:textId="79E2C280" w:rsidR="00E65CA1" w:rsidRPr="00F94147" w:rsidRDefault="0020396B" w:rsidP="00E65CA1">
      <w:pPr>
        <w:jc w:val="both"/>
        <w:rPr>
          <w:rFonts w:ascii="Calibri" w:hAnsi="Calibri"/>
          <w:bCs/>
        </w:rPr>
      </w:pPr>
      <w:bookmarkStart w:id="1" w:name="_Hlk22714423"/>
      <w:r>
        <w:rPr>
          <w:rFonts w:ascii="Calibri" w:hAnsi="Calibri"/>
          <w:bCs/>
          <w:szCs w:val="28"/>
        </w:rPr>
        <w:t>S</w:t>
      </w:r>
      <w:r w:rsidR="00E65CA1" w:rsidRPr="00F94147">
        <w:rPr>
          <w:rFonts w:ascii="Calibri" w:hAnsi="Calibri"/>
          <w:bCs/>
        </w:rPr>
        <w:t>redstva za investicije, obnovo</w:t>
      </w:r>
      <w:r w:rsidR="00AA607D">
        <w:rPr>
          <w:rFonts w:ascii="Calibri" w:hAnsi="Calibri"/>
          <w:bCs/>
        </w:rPr>
        <w:t>, obratovanje</w:t>
      </w:r>
      <w:r w:rsidR="00E65CA1" w:rsidRPr="00F94147">
        <w:rPr>
          <w:rFonts w:ascii="Calibri" w:hAnsi="Calibri"/>
          <w:bCs/>
        </w:rPr>
        <w:t xml:space="preserve"> in vzdrževanje športne infrastrukture</w:t>
      </w:r>
      <w:r w:rsidR="00E65CA1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615058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</w:t>
      </w:r>
      <w:r w:rsidR="00615058">
        <w:rPr>
          <w:rFonts w:ascii="Calibri" w:hAnsi="Calibri"/>
          <w:bCs/>
        </w:rPr>
        <w:t xml:space="preserve"> št. 3</w:t>
      </w:r>
      <w:r w:rsidR="00AA607D">
        <w:rPr>
          <w:rFonts w:ascii="Calibri" w:hAnsi="Calibri"/>
          <w:bCs/>
        </w:rPr>
        <w:t>)</w:t>
      </w:r>
      <w:r w:rsidR="00615058">
        <w:rPr>
          <w:rFonts w:ascii="Calibri" w:hAnsi="Calibri"/>
          <w:bCs/>
        </w:rPr>
        <w:t xml:space="preserve"> </w:t>
      </w:r>
      <w:r w:rsidR="00E65CA1">
        <w:rPr>
          <w:rFonts w:ascii="Calibri" w:hAnsi="Calibri"/>
          <w:bCs/>
        </w:rPr>
        <w:t xml:space="preserve">se zagotovijo </w:t>
      </w:r>
      <w:r w:rsidR="00E65CA1" w:rsidRPr="00F94147">
        <w:rPr>
          <w:rFonts w:ascii="Calibri" w:hAnsi="Calibri"/>
          <w:bCs/>
        </w:rPr>
        <w:t xml:space="preserve">na osnovi potrjenega proračuna MOV in </w:t>
      </w:r>
      <w:r w:rsidR="00E65CA1">
        <w:rPr>
          <w:rFonts w:ascii="Calibri" w:hAnsi="Calibri"/>
          <w:bCs/>
        </w:rPr>
        <w:t>pogodbe z izbrani</w:t>
      </w:r>
      <w:r w:rsidR="00AA607D">
        <w:rPr>
          <w:rFonts w:ascii="Calibri" w:hAnsi="Calibri"/>
          <w:bCs/>
        </w:rPr>
        <w:t>mi</w:t>
      </w:r>
      <w:r w:rsidR="00E65CA1">
        <w:rPr>
          <w:rFonts w:ascii="Calibri" w:hAnsi="Calibri"/>
          <w:bCs/>
        </w:rPr>
        <w:t xml:space="preserve"> izvajalc</w:t>
      </w:r>
      <w:r w:rsidR="00AA607D">
        <w:rPr>
          <w:rFonts w:ascii="Calibri" w:hAnsi="Calibri"/>
          <w:bCs/>
        </w:rPr>
        <w:t>i</w:t>
      </w:r>
      <w:r w:rsidR="00E65CA1" w:rsidRPr="00F94147">
        <w:rPr>
          <w:rFonts w:ascii="Calibri" w:hAnsi="Calibri"/>
          <w:bCs/>
        </w:rPr>
        <w:t>.</w:t>
      </w:r>
    </w:p>
    <w:bookmarkEnd w:id="1"/>
    <w:p w14:paraId="25E0C74A" w14:textId="78E1D01A" w:rsidR="00E65CA1" w:rsidRDefault="00E65CA1" w:rsidP="00F146A8">
      <w:pPr>
        <w:rPr>
          <w:rFonts w:ascii="Calibri" w:hAnsi="Calibri"/>
          <w:bCs/>
          <w:szCs w:val="28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872545" w:rsidRPr="00872545" w14:paraId="0166E8DF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06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872545">
              <w:rPr>
                <w:rFonts w:ascii="Calibri" w:hAnsi="Calibri" w:cs="Calibri"/>
                <w:sz w:val="30"/>
                <w:szCs w:val="30"/>
                <w:lang w:eastAsia="sl-SI"/>
              </w:rPr>
              <w:t>ŠRZ RDEČA DVORANA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10D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D4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03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872545" w:rsidRPr="00872545" w14:paraId="6569CA0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64006A2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4BE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plače: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E2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40318023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A45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538.670,00 €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7F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37,99%</w:t>
            </w:r>
          </w:p>
        </w:tc>
      </w:tr>
      <w:tr w:rsidR="00872545" w:rsidRPr="00872545" w14:paraId="52CCE55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267969AF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15F3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7AB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40318026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466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569.103,00 €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87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40,13%</w:t>
            </w:r>
          </w:p>
        </w:tc>
      </w:tr>
      <w:tr w:rsidR="00872545" w:rsidRPr="00872545" w14:paraId="3C9ACA6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88381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3C1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kotalkališče: tekoči in investicijski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2D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06FF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27.810,00 €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5E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1,96%</w:t>
            </w:r>
          </w:p>
        </w:tc>
      </w:tr>
      <w:tr w:rsidR="00872545" w:rsidRPr="00872545" w14:paraId="410764A3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54008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17A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pump </w:t>
            </w:r>
            <w:proofErr w:type="spellStart"/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track</w:t>
            </w:r>
            <w:proofErr w:type="spellEnd"/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54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AAA4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9.120,00 €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F8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0,64%</w:t>
            </w:r>
          </w:p>
        </w:tc>
      </w:tr>
      <w:tr w:rsidR="00872545" w:rsidRPr="00872545" w14:paraId="546854F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53AC917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4A50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smučarsko skakalni center: vzdrževanje javnih površin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ED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8EC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1.383,00 €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7E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0,10%</w:t>
            </w:r>
          </w:p>
        </w:tc>
      </w:tr>
      <w:tr w:rsidR="00872545" w:rsidRPr="00872545" w14:paraId="1231BDC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418F78D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166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zimsko dogajanje VISTA: material in storitve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21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DA9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CCA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1,76%</w:t>
            </w:r>
          </w:p>
        </w:tc>
      </w:tr>
      <w:tr w:rsidR="00872545" w:rsidRPr="00872545" w14:paraId="75C4880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49CFC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139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investicije Zavoda ŠRZ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92F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C57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116.500,00 €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0A4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8,22%</w:t>
            </w:r>
          </w:p>
        </w:tc>
      </w:tr>
      <w:tr w:rsidR="00872545" w:rsidRPr="00872545" w14:paraId="03404F7F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0FA2E5C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BE2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bela dvorana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25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27E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130.510,00 €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B8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9,20%</w:t>
            </w:r>
          </w:p>
        </w:tc>
      </w:tr>
      <w:tr w:rsidR="00872545" w:rsidRPr="00872545" w14:paraId="487DA142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5B8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  <w:lang w:eastAsia="sl-SI"/>
              </w:rPr>
            </w:pPr>
            <w:r w:rsidRPr="00872545">
              <w:rPr>
                <w:rFonts w:ascii="Calibri" w:hAnsi="Calibri" w:cs="Calibri"/>
                <w:sz w:val="28"/>
                <w:szCs w:val="28"/>
                <w:lang w:eastAsia="sl-SI"/>
              </w:rPr>
              <w:t>SKUPAJ DELOVANJE ŠRZ RDEČA DVORANA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FB1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1.418.096,00 €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C0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872545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074A937B" w14:textId="0C263D2E" w:rsidR="00615058" w:rsidRPr="00872545" w:rsidRDefault="00615058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4</w:t>
      </w:r>
    </w:p>
    <w:p w14:paraId="3B98F4CB" w14:textId="77777777" w:rsidR="00E65CA1" w:rsidRPr="00872545" w:rsidRDefault="00E65CA1" w:rsidP="00F146A8">
      <w:pPr>
        <w:rPr>
          <w:rFonts w:ascii="Calibri" w:hAnsi="Calibri"/>
          <w:bCs/>
          <w:sz w:val="16"/>
          <w:szCs w:val="16"/>
        </w:rPr>
      </w:pPr>
    </w:p>
    <w:p w14:paraId="75F3EB4E" w14:textId="7AF4A57D" w:rsidR="00F146A8" w:rsidRDefault="00E65CA1" w:rsidP="00E65CA1">
      <w:pPr>
        <w:jc w:val="both"/>
        <w:rPr>
          <w:rFonts w:ascii="Calibri" w:hAnsi="Calibri"/>
          <w:bCs/>
        </w:rPr>
      </w:pPr>
      <w:r w:rsidRPr="00E65CA1">
        <w:rPr>
          <w:rFonts w:ascii="Calibri" w:hAnsi="Calibri"/>
          <w:bCs/>
          <w:szCs w:val="28"/>
        </w:rPr>
        <w:t>S</w:t>
      </w:r>
      <w:r w:rsidR="00F146A8" w:rsidRPr="00F94147">
        <w:rPr>
          <w:rFonts w:ascii="Calibri" w:hAnsi="Calibri"/>
          <w:bCs/>
        </w:rPr>
        <w:t xml:space="preserve">redstva za </w:t>
      </w:r>
      <w:r w:rsidR="00041637" w:rsidRPr="00F94147">
        <w:rPr>
          <w:rFonts w:ascii="Calibri" w:hAnsi="Calibri"/>
          <w:bCs/>
        </w:rPr>
        <w:t xml:space="preserve">delovanje </w:t>
      </w:r>
      <w:r w:rsidR="00D34088">
        <w:rPr>
          <w:rFonts w:ascii="Calibri" w:hAnsi="Calibri"/>
          <w:bCs/>
        </w:rPr>
        <w:t>ŠRZ</w:t>
      </w:r>
      <w:r w:rsidR="00041637" w:rsidRPr="00F94147">
        <w:rPr>
          <w:rFonts w:ascii="Calibri" w:hAnsi="Calibri"/>
          <w:bCs/>
        </w:rPr>
        <w:t xml:space="preserve"> Rdeča dvorana</w:t>
      </w:r>
      <w:r w:rsidR="00615058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615058">
        <w:rPr>
          <w:rFonts w:ascii="Calibri" w:hAnsi="Calibri"/>
          <w:bCs/>
        </w:rPr>
        <w:t xml:space="preserve">preglednice </w:t>
      </w:r>
      <w:r w:rsidR="00AA607D">
        <w:rPr>
          <w:rFonts w:ascii="Calibri" w:hAnsi="Calibri"/>
          <w:bCs/>
        </w:rPr>
        <w:t xml:space="preserve">št. </w:t>
      </w:r>
      <w:r w:rsidR="00615058">
        <w:rPr>
          <w:rFonts w:ascii="Calibri" w:hAnsi="Calibri"/>
          <w:bCs/>
        </w:rPr>
        <w:t>4</w:t>
      </w:r>
      <w:r w:rsidR="00AA607D">
        <w:rPr>
          <w:rFonts w:ascii="Calibri" w:hAnsi="Calibri"/>
          <w:bCs/>
        </w:rPr>
        <w:t>)</w:t>
      </w:r>
      <w:r w:rsidR="0061505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se zagotovijo </w:t>
      </w:r>
      <w:r w:rsidR="00F146A8" w:rsidRPr="00F94147">
        <w:rPr>
          <w:rFonts w:ascii="Calibri" w:hAnsi="Calibri"/>
          <w:bCs/>
        </w:rPr>
        <w:t>na osnovi potrjene</w:t>
      </w:r>
      <w:r w:rsidR="00B30D87">
        <w:rPr>
          <w:rFonts w:ascii="Calibri" w:hAnsi="Calibri"/>
          <w:bCs/>
        </w:rPr>
        <w:t xml:space="preserve">ga proračuna </w:t>
      </w:r>
      <w:r w:rsidR="00615058">
        <w:rPr>
          <w:rFonts w:ascii="Calibri" w:hAnsi="Calibri"/>
          <w:bCs/>
        </w:rPr>
        <w:t xml:space="preserve">MOV </w:t>
      </w:r>
      <w:r w:rsidR="00872545">
        <w:rPr>
          <w:rFonts w:ascii="Calibri" w:hAnsi="Calibri"/>
          <w:bCs/>
        </w:rPr>
        <w:t>(ustanoviteljica Zavoda) i</w:t>
      </w:r>
      <w:r w:rsidR="00B30D87">
        <w:rPr>
          <w:rFonts w:ascii="Calibri" w:hAnsi="Calibri"/>
          <w:bCs/>
        </w:rPr>
        <w:t xml:space="preserve">n </w:t>
      </w:r>
      <w:r w:rsidR="006D4DAD">
        <w:rPr>
          <w:rFonts w:ascii="Calibri" w:hAnsi="Calibri"/>
          <w:bCs/>
        </w:rPr>
        <w:t xml:space="preserve">neposredne </w:t>
      </w:r>
      <w:r w:rsidR="00B30D87">
        <w:rPr>
          <w:rFonts w:ascii="Calibri" w:hAnsi="Calibri"/>
          <w:bCs/>
        </w:rPr>
        <w:t>pogodbe z</w:t>
      </w:r>
      <w:r w:rsidR="00041637" w:rsidRPr="00F94147">
        <w:rPr>
          <w:rFonts w:ascii="Calibri" w:hAnsi="Calibri"/>
          <w:bCs/>
        </w:rPr>
        <w:t xml:space="preserve"> Zavod</w:t>
      </w:r>
      <w:r w:rsidR="00B30D87">
        <w:rPr>
          <w:rFonts w:ascii="Calibri" w:hAnsi="Calibri"/>
          <w:bCs/>
        </w:rPr>
        <w:t xml:space="preserve">om </w:t>
      </w:r>
      <w:r w:rsidR="00872545">
        <w:rPr>
          <w:rFonts w:ascii="Calibri" w:hAnsi="Calibri"/>
          <w:bCs/>
        </w:rPr>
        <w:t>Š</w:t>
      </w:r>
      <w:r w:rsidR="00B30D87">
        <w:rPr>
          <w:rFonts w:ascii="Calibri" w:hAnsi="Calibri"/>
          <w:bCs/>
        </w:rPr>
        <w:t>R</w:t>
      </w:r>
      <w:r w:rsidR="00872545">
        <w:rPr>
          <w:rFonts w:ascii="Calibri" w:hAnsi="Calibri"/>
          <w:bCs/>
        </w:rPr>
        <w:t>Z</w:t>
      </w:r>
      <w:r w:rsidR="00F146A8" w:rsidRPr="00F94147">
        <w:rPr>
          <w:rFonts w:ascii="Calibri" w:hAnsi="Calibri"/>
          <w:bCs/>
        </w:rPr>
        <w:t>.</w:t>
      </w:r>
    </w:p>
    <w:p w14:paraId="14AC2D44" w14:textId="2C513829" w:rsidR="00AA607D" w:rsidRDefault="00AA607D" w:rsidP="00E65CA1">
      <w:pPr>
        <w:jc w:val="both"/>
        <w:rPr>
          <w:rFonts w:ascii="Calibri" w:hAnsi="Calibri"/>
          <w:bCs/>
          <w:szCs w:val="22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872545" w:rsidRPr="00872545" w14:paraId="60D933A0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1F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872545">
              <w:rPr>
                <w:rFonts w:ascii="Calibri" w:hAnsi="Calibri" w:cs="Calibri"/>
                <w:sz w:val="30"/>
                <w:szCs w:val="30"/>
                <w:lang w:eastAsia="sl-SI"/>
              </w:rPr>
              <w:t>OBČINSKA UPRAVA MOV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F9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37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C1D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872545" w:rsidRPr="00872545" w14:paraId="44AF783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79E58B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PROGR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4B48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nagrade za športne dosežke: drugi operativni odhodki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B1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9457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24.000,00 €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66E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66,67%</w:t>
            </w:r>
          </w:p>
        </w:tc>
      </w:tr>
      <w:tr w:rsidR="00872545" w:rsidRPr="00872545" w14:paraId="5255306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AA3E984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PROGR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962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občinske panožne športne šole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292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6D4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214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33,33%</w:t>
            </w:r>
          </w:p>
        </w:tc>
      </w:tr>
      <w:tr w:rsidR="00872545" w:rsidRPr="00872545" w14:paraId="6912E447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CAB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  <w:lang w:eastAsia="sl-SI"/>
              </w:rPr>
            </w:pPr>
            <w:r w:rsidRPr="00872545">
              <w:rPr>
                <w:rFonts w:ascii="Calibri" w:hAnsi="Calibri" w:cs="Calibri"/>
                <w:sz w:val="28"/>
                <w:szCs w:val="28"/>
                <w:lang w:eastAsia="sl-SI"/>
              </w:rPr>
              <w:t>SKUPAJ OPERATIVNI ODHODKI OBČINSKE UPRAVE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66C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6"/>
                <w:szCs w:val="26"/>
                <w:lang w:eastAsia="sl-SI"/>
              </w:rPr>
            </w:pPr>
            <w:r w:rsidRPr="00872545">
              <w:rPr>
                <w:rFonts w:ascii="Calibri" w:hAnsi="Calibri" w:cs="Calibri"/>
                <w:sz w:val="26"/>
                <w:szCs w:val="26"/>
                <w:lang w:eastAsia="sl-SI"/>
              </w:rPr>
              <w:t>36.000,00 €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7D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872545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5B1303A4" w14:textId="7DA66B0B" w:rsidR="00AA607D" w:rsidRPr="00872545" w:rsidRDefault="00AA607D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5</w:t>
      </w:r>
    </w:p>
    <w:p w14:paraId="42E4480C" w14:textId="77777777" w:rsidR="00AA607D" w:rsidRPr="00872545" w:rsidRDefault="00AA607D" w:rsidP="00E65CA1">
      <w:pPr>
        <w:jc w:val="both"/>
        <w:rPr>
          <w:rFonts w:ascii="Calibri" w:hAnsi="Calibri"/>
          <w:bCs/>
          <w:sz w:val="16"/>
          <w:szCs w:val="16"/>
        </w:rPr>
      </w:pPr>
    </w:p>
    <w:p w14:paraId="50CAEEBA" w14:textId="5671302F" w:rsidR="00AA607D" w:rsidRPr="002E660A" w:rsidRDefault="00AA607D" w:rsidP="00AA607D">
      <w:pPr>
        <w:jc w:val="both"/>
        <w:rPr>
          <w:rFonts w:ascii="Calibri" w:hAnsi="Calibri"/>
          <w:bCs/>
        </w:rPr>
      </w:pPr>
      <w:r w:rsidRPr="002E660A">
        <w:rPr>
          <w:rFonts w:ascii="Calibri" w:hAnsi="Calibri"/>
          <w:bCs/>
          <w:szCs w:val="28"/>
        </w:rPr>
        <w:t>S</w:t>
      </w:r>
      <w:r w:rsidRPr="002E660A">
        <w:rPr>
          <w:rFonts w:ascii="Calibri" w:hAnsi="Calibri"/>
          <w:bCs/>
        </w:rPr>
        <w:t>redstva za nagrade za športne dosežke</w:t>
      </w:r>
      <w:r w:rsidR="002013FF">
        <w:rPr>
          <w:rFonts w:ascii="Calibri" w:hAnsi="Calibri"/>
          <w:bCs/>
        </w:rPr>
        <w:t xml:space="preserve"> in občinske panožne športne šole</w:t>
      </w:r>
      <w:r w:rsidRPr="002E660A">
        <w:rPr>
          <w:rFonts w:ascii="Calibri" w:hAnsi="Calibri"/>
          <w:bCs/>
        </w:rPr>
        <w:t xml:space="preserve"> (preglednice št. 5) se zagotovijo na osnovi potrjenega proračuna MOV in sklepa župana.</w:t>
      </w:r>
    </w:p>
    <w:p w14:paraId="29970E31" w14:textId="77777777" w:rsidR="00646EBE" w:rsidRPr="002E660A" w:rsidRDefault="00646EBE" w:rsidP="00646EBE">
      <w:pPr>
        <w:jc w:val="both"/>
        <w:rPr>
          <w:rFonts w:ascii="Calibri" w:hAnsi="Calibri"/>
          <w:bCs/>
          <w:szCs w:val="28"/>
        </w:rPr>
      </w:pPr>
    </w:p>
    <w:p w14:paraId="23083536" w14:textId="77777777" w:rsidR="00646EBE" w:rsidRPr="002E660A" w:rsidRDefault="00E65CA1" w:rsidP="00646EBE">
      <w:pPr>
        <w:jc w:val="center"/>
        <w:rPr>
          <w:rFonts w:ascii="Calibri" w:hAnsi="Calibri"/>
          <w:bCs/>
          <w:szCs w:val="28"/>
        </w:rPr>
      </w:pPr>
      <w:bookmarkStart w:id="2" w:name="_Hlk22714466"/>
      <w:r w:rsidRPr="002E660A">
        <w:rPr>
          <w:rFonts w:ascii="Calibri" w:hAnsi="Calibri"/>
          <w:bCs/>
          <w:szCs w:val="28"/>
        </w:rPr>
        <w:t>4</w:t>
      </w:r>
      <w:r w:rsidR="00646EBE" w:rsidRPr="002E660A">
        <w:rPr>
          <w:rFonts w:ascii="Calibri" w:hAnsi="Calibri"/>
          <w:bCs/>
          <w:szCs w:val="28"/>
        </w:rPr>
        <w:t>. člen</w:t>
      </w:r>
    </w:p>
    <w:p w14:paraId="0CEE1011" w14:textId="4FB22C8A" w:rsidR="00646EBE" w:rsidRPr="002E660A" w:rsidRDefault="00646EBE" w:rsidP="00646EBE">
      <w:pPr>
        <w:jc w:val="center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  <w:szCs w:val="28"/>
        </w:rPr>
        <w:t>(obseg</w:t>
      </w:r>
      <w:r w:rsidR="00024B98" w:rsidRPr="002E660A">
        <w:rPr>
          <w:rFonts w:ascii="Calibri" w:hAnsi="Calibri"/>
          <w:bCs/>
          <w:szCs w:val="28"/>
        </w:rPr>
        <w:t xml:space="preserve"> in vrsta športnih programov</w:t>
      </w:r>
      <w:r w:rsidR="006E4AB6">
        <w:rPr>
          <w:rFonts w:ascii="Calibri" w:hAnsi="Calibri"/>
          <w:bCs/>
          <w:szCs w:val="28"/>
        </w:rPr>
        <w:t xml:space="preserve"> in </w:t>
      </w:r>
      <w:r w:rsidR="00024B98" w:rsidRPr="002E660A">
        <w:rPr>
          <w:rFonts w:ascii="Calibri" w:hAnsi="Calibri"/>
          <w:bCs/>
          <w:szCs w:val="28"/>
        </w:rPr>
        <w:t>področij)</w:t>
      </w:r>
    </w:p>
    <w:p w14:paraId="23EB1F8A" w14:textId="2242180C" w:rsidR="00024B98" w:rsidRPr="002E660A" w:rsidRDefault="00024B98" w:rsidP="00024B98">
      <w:pPr>
        <w:jc w:val="both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  <w:szCs w:val="28"/>
        </w:rPr>
        <w:t>Obseg in vrsta športnih programov</w:t>
      </w:r>
      <w:r w:rsidR="006E4AB6">
        <w:rPr>
          <w:rFonts w:ascii="Calibri" w:hAnsi="Calibri"/>
          <w:bCs/>
          <w:szCs w:val="28"/>
        </w:rPr>
        <w:t xml:space="preserve"> in </w:t>
      </w:r>
      <w:r w:rsidRPr="002E660A">
        <w:rPr>
          <w:rFonts w:ascii="Calibri" w:hAnsi="Calibri"/>
          <w:bCs/>
          <w:szCs w:val="28"/>
        </w:rPr>
        <w:t xml:space="preserve">področij, ki se v </w:t>
      </w:r>
      <w:r w:rsidR="00632DA1">
        <w:rPr>
          <w:rFonts w:ascii="Calibri" w:hAnsi="Calibri"/>
          <w:bCs/>
          <w:szCs w:val="28"/>
        </w:rPr>
        <w:t>2025</w:t>
      </w:r>
      <w:r w:rsidRPr="002E660A">
        <w:rPr>
          <w:rFonts w:ascii="Calibri" w:hAnsi="Calibri"/>
          <w:bCs/>
          <w:szCs w:val="28"/>
        </w:rPr>
        <w:t xml:space="preserve"> sofinancirajo iz proračunskih sredstev, so opredeljeni v Pogojih</w:t>
      </w:r>
      <w:r w:rsidR="006E4AB6">
        <w:rPr>
          <w:rFonts w:ascii="Calibri" w:hAnsi="Calibri"/>
          <w:bCs/>
          <w:szCs w:val="28"/>
        </w:rPr>
        <w:t xml:space="preserve"> in </w:t>
      </w:r>
      <w:r w:rsidRPr="002E660A">
        <w:rPr>
          <w:rFonts w:ascii="Calibri" w:hAnsi="Calibri"/>
          <w:bCs/>
          <w:szCs w:val="28"/>
        </w:rPr>
        <w:t xml:space="preserve">merilih </w:t>
      </w:r>
      <w:r w:rsidR="006E4AB6">
        <w:rPr>
          <w:rFonts w:ascii="Calibri" w:hAnsi="Calibri"/>
          <w:bCs/>
          <w:szCs w:val="28"/>
        </w:rPr>
        <w:t xml:space="preserve">za izbiro, ocenjevanje in </w:t>
      </w:r>
      <w:r w:rsidRPr="002E660A">
        <w:rPr>
          <w:rFonts w:ascii="Calibri" w:hAnsi="Calibri"/>
          <w:bCs/>
          <w:szCs w:val="28"/>
        </w:rPr>
        <w:t>vrednotenje LPŠ v MOV</w:t>
      </w:r>
      <w:r w:rsidR="006E4AB6">
        <w:rPr>
          <w:rFonts w:ascii="Calibri" w:hAnsi="Calibri"/>
          <w:bCs/>
          <w:szCs w:val="28"/>
        </w:rPr>
        <w:t xml:space="preserve"> (izvleček za 2025). </w:t>
      </w:r>
    </w:p>
    <w:bookmarkEnd w:id="2"/>
    <w:p w14:paraId="0E25AFED" w14:textId="77777777" w:rsidR="00024B98" w:rsidRPr="002E660A" w:rsidRDefault="00024B98" w:rsidP="00024B98">
      <w:pPr>
        <w:jc w:val="both"/>
        <w:rPr>
          <w:rFonts w:ascii="Calibri" w:hAnsi="Calibri"/>
          <w:bCs/>
          <w:szCs w:val="28"/>
        </w:rPr>
      </w:pPr>
    </w:p>
    <w:p w14:paraId="56DAD2D0" w14:textId="77777777" w:rsidR="00F146A8" w:rsidRPr="002E660A" w:rsidRDefault="00E65CA1" w:rsidP="00F146A8">
      <w:pPr>
        <w:jc w:val="center"/>
        <w:rPr>
          <w:rFonts w:ascii="Calibri" w:hAnsi="Calibri"/>
          <w:bCs/>
        </w:rPr>
      </w:pPr>
      <w:bookmarkStart w:id="3" w:name="_Hlk22714653"/>
      <w:r w:rsidRPr="002E660A">
        <w:rPr>
          <w:rFonts w:ascii="Calibri" w:hAnsi="Calibri"/>
          <w:bCs/>
        </w:rPr>
        <w:t>5</w:t>
      </w:r>
      <w:r w:rsidR="00F146A8" w:rsidRPr="002E660A">
        <w:rPr>
          <w:rFonts w:ascii="Calibri" w:hAnsi="Calibri"/>
          <w:bCs/>
        </w:rPr>
        <w:t>. člen</w:t>
      </w:r>
    </w:p>
    <w:p w14:paraId="23D66CDA" w14:textId="4239EF94" w:rsidR="00F146A8" w:rsidRPr="002E660A" w:rsidRDefault="00F146A8" w:rsidP="00F146A8">
      <w:pPr>
        <w:jc w:val="center"/>
        <w:rPr>
          <w:rFonts w:ascii="Calibri" w:hAnsi="Calibri"/>
          <w:bCs/>
        </w:rPr>
      </w:pPr>
      <w:r w:rsidRPr="002E660A">
        <w:rPr>
          <w:rFonts w:ascii="Calibri" w:hAnsi="Calibri"/>
          <w:bCs/>
        </w:rPr>
        <w:t>(</w:t>
      </w:r>
      <w:r w:rsidR="00FB1F34">
        <w:rPr>
          <w:rFonts w:ascii="Calibri" w:hAnsi="Calibri"/>
          <w:bCs/>
        </w:rPr>
        <w:t xml:space="preserve">javni razpis in </w:t>
      </w:r>
      <w:r w:rsidR="00024B98" w:rsidRPr="002E660A">
        <w:rPr>
          <w:rFonts w:ascii="Calibri" w:hAnsi="Calibri"/>
          <w:bCs/>
        </w:rPr>
        <w:t>merila za vrednotenje</w:t>
      </w:r>
      <w:r w:rsidRPr="002E660A">
        <w:rPr>
          <w:rFonts w:ascii="Calibri" w:hAnsi="Calibri"/>
          <w:bCs/>
        </w:rPr>
        <w:t>)</w:t>
      </w:r>
    </w:p>
    <w:p w14:paraId="5719DD4D" w14:textId="007AF92B" w:rsidR="006E4AB6" w:rsidRPr="002E660A" w:rsidRDefault="00F146A8" w:rsidP="006E4AB6">
      <w:pPr>
        <w:jc w:val="both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</w:rPr>
        <w:t xml:space="preserve">Na osnovi sprejetega LPŠ </w:t>
      </w:r>
      <w:r w:rsidR="00632DA1">
        <w:rPr>
          <w:rFonts w:ascii="Calibri" w:hAnsi="Calibri"/>
          <w:bCs/>
        </w:rPr>
        <w:t>2025</w:t>
      </w:r>
      <w:r w:rsidRPr="002E660A">
        <w:rPr>
          <w:rFonts w:ascii="Calibri" w:hAnsi="Calibri"/>
          <w:bCs/>
        </w:rPr>
        <w:t xml:space="preserve"> bo </w:t>
      </w:r>
      <w:r w:rsidR="006E4AB6">
        <w:rPr>
          <w:rFonts w:ascii="Calibri" w:hAnsi="Calibri"/>
          <w:bCs/>
        </w:rPr>
        <w:t xml:space="preserve">občinska </w:t>
      </w:r>
      <w:r w:rsidRPr="002E660A">
        <w:rPr>
          <w:rFonts w:ascii="Calibri" w:hAnsi="Calibri"/>
          <w:bCs/>
        </w:rPr>
        <w:t>uprava iz</w:t>
      </w:r>
      <w:r w:rsidR="002B34EA">
        <w:rPr>
          <w:rFonts w:ascii="Calibri" w:hAnsi="Calibri"/>
          <w:bCs/>
        </w:rPr>
        <w:t>peljala</w:t>
      </w:r>
      <w:r w:rsidRPr="002E660A">
        <w:rPr>
          <w:rFonts w:ascii="Calibri" w:hAnsi="Calibri"/>
          <w:bCs/>
        </w:rPr>
        <w:t xml:space="preserve"> postopke za izvedbo javnega razpisa za sofinanciranje LPŠ v </w:t>
      </w:r>
      <w:r w:rsidR="00041637" w:rsidRPr="002E660A">
        <w:rPr>
          <w:rFonts w:ascii="Calibri" w:hAnsi="Calibri"/>
          <w:bCs/>
        </w:rPr>
        <w:t xml:space="preserve">MOV </w:t>
      </w:r>
      <w:r w:rsidRPr="002E660A">
        <w:rPr>
          <w:rFonts w:ascii="Calibri" w:hAnsi="Calibri"/>
          <w:bCs/>
        </w:rPr>
        <w:t xml:space="preserve">za leto </w:t>
      </w:r>
      <w:r w:rsidR="00632DA1">
        <w:rPr>
          <w:rFonts w:ascii="Calibri" w:hAnsi="Calibri"/>
          <w:bCs/>
        </w:rPr>
        <w:t>2025</w:t>
      </w:r>
      <w:r w:rsidRPr="002E660A">
        <w:rPr>
          <w:rFonts w:ascii="Calibri" w:hAnsi="Calibri"/>
          <w:bCs/>
        </w:rPr>
        <w:t xml:space="preserve">. Vrednotenje na javni razpis prispelih vlog se izvrši na osnovi </w:t>
      </w:r>
      <w:r w:rsidR="006E4AB6">
        <w:rPr>
          <w:rFonts w:ascii="Calibri" w:hAnsi="Calibri"/>
          <w:bCs/>
        </w:rPr>
        <w:t>določb Odloka</w:t>
      </w:r>
      <w:r w:rsidR="00041637" w:rsidRPr="002E660A">
        <w:rPr>
          <w:rFonts w:ascii="Calibri" w:hAnsi="Calibri"/>
          <w:bCs/>
        </w:rPr>
        <w:t xml:space="preserve"> </w:t>
      </w:r>
      <w:r w:rsidR="006E4AB6">
        <w:rPr>
          <w:rFonts w:ascii="Calibri" w:hAnsi="Calibri"/>
          <w:bCs/>
        </w:rPr>
        <w:t>o sofinanciranju LPŠ v</w:t>
      </w:r>
      <w:r w:rsidR="00024B98" w:rsidRPr="002E660A">
        <w:rPr>
          <w:rFonts w:ascii="Calibri" w:hAnsi="Calibri"/>
          <w:bCs/>
        </w:rPr>
        <w:t xml:space="preserve"> MOV</w:t>
      </w:r>
      <w:r w:rsidR="006E4AB6">
        <w:rPr>
          <w:rFonts w:ascii="Calibri" w:hAnsi="Calibri"/>
          <w:bCs/>
        </w:rPr>
        <w:t xml:space="preserve"> (Pogoji in merila).</w:t>
      </w:r>
      <w:r w:rsidR="006E4AB6" w:rsidRPr="006E4AB6">
        <w:rPr>
          <w:rFonts w:ascii="Calibri" w:hAnsi="Calibri"/>
          <w:bCs/>
          <w:szCs w:val="28"/>
        </w:rPr>
        <w:t xml:space="preserve"> </w:t>
      </w:r>
      <w:r w:rsidR="006E4AB6">
        <w:rPr>
          <w:rFonts w:ascii="Calibri" w:hAnsi="Calibri"/>
          <w:bCs/>
          <w:szCs w:val="28"/>
        </w:rPr>
        <w:t>Izvleček Pogojev in meril</w:t>
      </w:r>
      <w:r w:rsidR="006E4AB6" w:rsidRPr="002E660A">
        <w:rPr>
          <w:rFonts w:ascii="Calibri" w:hAnsi="Calibri"/>
          <w:bCs/>
          <w:szCs w:val="28"/>
        </w:rPr>
        <w:t xml:space="preserve"> za leto </w:t>
      </w:r>
      <w:r w:rsidR="006E4AB6">
        <w:rPr>
          <w:rFonts w:ascii="Calibri" w:hAnsi="Calibri"/>
          <w:bCs/>
          <w:szCs w:val="28"/>
        </w:rPr>
        <w:t>2025 je sestavni del razpisne dokumentacije</w:t>
      </w:r>
      <w:r w:rsidR="006E4AB6" w:rsidRPr="002E660A">
        <w:rPr>
          <w:rFonts w:ascii="Calibri" w:hAnsi="Calibri"/>
          <w:bCs/>
          <w:szCs w:val="28"/>
        </w:rPr>
        <w:t>.</w:t>
      </w:r>
    </w:p>
    <w:p w14:paraId="741AA143" w14:textId="164BC012" w:rsidR="00F146A8" w:rsidRPr="002E660A" w:rsidRDefault="00F146A8" w:rsidP="00F146A8">
      <w:pPr>
        <w:jc w:val="both"/>
        <w:rPr>
          <w:rFonts w:ascii="Calibri" w:hAnsi="Calibri"/>
          <w:bCs/>
        </w:rPr>
      </w:pPr>
    </w:p>
    <w:p w14:paraId="3CA97EC7" w14:textId="77777777" w:rsidR="00F146A8" w:rsidRPr="002E660A" w:rsidRDefault="00F146A8" w:rsidP="00F146A8">
      <w:pPr>
        <w:jc w:val="both"/>
        <w:rPr>
          <w:rFonts w:ascii="Calibri" w:hAnsi="Calibri"/>
          <w:bCs/>
          <w:szCs w:val="22"/>
        </w:rPr>
      </w:pPr>
    </w:p>
    <w:p w14:paraId="4D716073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="00F146A8" w:rsidRPr="00F94147">
        <w:rPr>
          <w:rFonts w:ascii="Calibri" w:hAnsi="Calibri"/>
          <w:bCs/>
        </w:rPr>
        <w:t>. člen</w:t>
      </w:r>
    </w:p>
    <w:p w14:paraId="118DF28C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(možnosti prerazporeditve sredstev LPŠ in JR)</w:t>
      </w:r>
    </w:p>
    <w:p w14:paraId="0D9EA560" w14:textId="5EBE2F95" w:rsidR="00F146A8" w:rsidRPr="00F94147" w:rsidRDefault="002B34EA" w:rsidP="00F146A8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Če K</w:t>
      </w:r>
      <w:r w:rsidR="00F146A8" w:rsidRPr="00F94147">
        <w:rPr>
          <w:rFonts w:ascii="Calibri" w:hAnsi="Calibri"/>
          <w:bCs/>
        </w:rPr>
        <w:t xml:space="preserve">omisija za </w:t>
      </w:r>
      <w:r w:rsidR="00C93ED7">
        <w:rPr>
          <w:rFonts w:ascii="Calibri" w:hAnsi="Calibri"/>
          <w:bCs/>
        </w:rPr>
        <w:t>šport</w:t>
      </w:r>
      <w:r w:rsidR="00F146A8" w:rsidRPr="00F94147">
        <w:rPr>
          <w:rFonts w:ascii="Calibri" w:hAnsi="Calibri"/>
          <w:bCs/>
        </w:rPr>
        <w:t xml:space="preserve"> v postopku</w:t>
      </w:r>
      <w:r>
        <w:rPr>
          <w:rFonts w:ascii="Calibri" w:hAnsi="Calibri"/>
          <w:bCs/>
        </w:rPr>
        <w:t xml:space="preserve"> JR</w:t>
      </w:r>
      <w:r w:rsidR="00F146A8" w:rsidRPr="00F94147">
        <w:rPr>
          <w:rFonts w:ascii="Calibri" w:hAnsi="Calibri"/>
          <w:bCs/>
        </w:rPr>
        <w:t xml:space="preserve"> ugotovi, da je število prijav v razpisanih programih</w:t>
      </w:r>
      <w:r w:rsidR="006E4AB6">
        <w:rPr>
          <w:rFonts w:ascii="Calibri" w:hAnsi="Calibri"/>
          <w:bCs/>
        </w:rPr>
        <w:t xml:space="preserve"> ali </w:t>
      </w:r>
      <w:r w:rsidR="00F146A8" w:rsidRPr="00F94147">
        <w:rPr>
          <w:rFonts w:ascii="Calibri" w:hAnsi="Calibri"/>
          <w:bCs/>
        </w:rPr>
        <w:t>področjih manjše</w:t>
      </w:r>
      <w:r w:rsidR="00C93ED7">
        <w:rPr>
          <w:rFonts w:ascii="Calibri" w:hAnsi="Calibri"/>
          <w:bCs/>
        </w:rPr>
        <w:t xml:space="preserve"> </w:t>
      </w:r>
      <w:r w:rsidR="00F146A8" w:rsidRPr="00F94147">
        <w:rPr>
          <w:rFonts w:ascii="Calibri" w:hAnsi="Calibri"/>
          <w:bCs/>
        </w:rPr>
        <w:t>od pričakovanj, lahko sredstva prerazporedi na tiste razpisane program</w:t>
      </w:r>
      <w:r w:rsidR="006E4AB6">
        <w:rPr>
          <w:rFonts w:ascii="Calibri" w:hAnsi="Calibri"/>
          <w:bCs/>
        </w:rPr>
        <w:t xml:space="preserve">e ali </w:t>
      </w:r>
      <w:r w:rsidR="00F146A8" w:rsidRPr="00F94147">
        <w:rPr>
          <w:rFonts w:ascii="Calibri" w:hAnsi="Calibri"/>
          <w:bCs/>
        </w:rPr>
        <w:t xml:space="preserve">področja športa, kjer je število prijav večje od pričakovanj. </w:t>
      </w:r>
      <w:r w:rsidR="00C93ED7">
        <w:rPr>
          <w:rFonts w:ascii="Calibri" w:hAnsi="Calibri"/>
          <w:bCs/>
        </w:rPr>
        <w:t>Določilo velja za sredstva proračunske postavke 40318110.</w:t>
      </w:r>
    </w:p>
    <w:p w14:paraId="403A6072" w14:textId="77777777" w:rsidR="002B34EA" w:rsidRPr="004A4013" w:rsidRDefault="002B34EA" w:rsidP="00F146A8">
      <w:pPr>
        <w:jc w:val="both"/>
        <w:rPr>
          <w:rFonts w:ascii="Calibri" w:hAnsi="Calibri"/>
          <w:bCs/>
          <w:color w:val="C00000"/>
          <w:szCs w:val="22"/>
        </w:rPr>
      </w:pPr>
    </w:p>
    <w:p w14:paraId="67D79F5F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F146A8" w:rsidRPr="00F94147">
        <w:rPr>
          <w:rFonts w:ascii="Calibri" w:hAnsi="Calibri"/>
          <w:bCs/>
        </w:rPr>
        <w:t>. člen</w:t>
      </w:r>
    </w:p>
    <w:p w14:paraId="5609E88F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(spremembe LPŠ)</w:t>
      </w:r>
    </w:p>
    <w:p w14:paraId="552BA91D" w14:textId="410C2B16" w:rsidR="00F146A8" w:rsidRPr="00F94147" w:rsidRDefault="00F146A8" w:rsidP="00F146A8">
      <w:pPr>
        <w:pStyle w:val="Glava"/>
        <w:tabs>
          <w:tab w:val="clear" w:pos="4536"/>
          <w:tab w:val="clear" w:pos="9072"/>
        </w:tabs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Sprememba občinskega proračuna na področju športa </w:t>
      </w:r>
      <w:r w:rsidR="00E51223">
        <w:rPr>
          <w:rFonts w:ascii="Calibri" w:hAnsi="Calibri"/>
          <w:bCs/>
          <w:sz w:val="22"/>
          <w:szCs w:val="22"/>
        </w:rPr>
        <w:t>posledično</w:t>
      </w:r>
      <w:r w:rsidRPr="00F94147">
        <w:rPr>
          <w:rFonts w:ascii="Calibri" w:hAnsi="Calibri"/>
          <w:bCs/>
          <w:sz w:val="22"/>
          <w:szCs w:val="22"/>
        </w:rPr>
        <w:t xml:space="preserve"> pomeni spremembo LPŠ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>.</w:t>
      </w:r>
    </w:p>
    <w:p w14:paraId="07039E59" w14:textId="77777777" w:rsidR="00F146A8" w:rsidRPr="004A4013" w:rsidRDefault="00F146A8" w:rsidP="00F146A8">
      <w:pPr>
        <w:rPr>
          <w:rFonts w:ascii="Calibri" w:hAnsi="Calibri"/>
          <w:bCs/>
          <w:szCs w:val="22"/>
        </w:rPr>
      </w:pPr>
    </w:p>
    <w:p w14:paraId="30DE6385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8</w:t>
      </w:r>
      <w:r w:rsidR="00F146A8" w:rsidRPr="00F94147">
        <w:rPr>
          <w:rFonts w:ascii="Calibri" w:hAnsi="Calibri"/>
          <w:bCs/>
        </w:rPr>
        <w:t>. člen</w:t>
      </w:r>
    </w:p>
    <w:p w14:paraId="5E9CBF14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(veljavnost LPŠ)</w:t>
      </w:r>
    </w:p>
    <w:p w14:paraId="3E5B5355" w14:textId="772B8430" w:rsidR="00F146A8" w:rsidRPr="00F94147" w:rsidRDefault="00F146A8" w:rsidP="00F146A8">
      <w:pPr>
        <w:jc w:val="both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 xml:space="preserve">LPŠ v </w:t>
      </w:r>
      <w:r w:rsidR="00041637" w:rsidRPr="00F94147">
        <w:rPr>
          <w:rFonts w:ascii="Calibri" w:hAnsi="Calibri"/>
          <w:bCs/>
        </w:rPr>
        <w:t>MOV</w:t>
      </w:r>
      <w:r w:rsidRPr="00F94147">
        <w:rPr>
          <w:rFonts w:ascii="Calibri" w:hAnsi="Calibri"/>
          <w:bCs/>
        </w:rPr>
        <w:t xml:space="preserve"> za leto </w:t>
      </w:r>
      <w:r w:rsidR="00632DA1">
        <w:rPr>
          <w:rFonts w:ascii="Calibri" w:hAnsi="Calibri"/>
          <w:bCs/>
        </w:rPr>
        <w:t>2025</w:t>
      </w:r>
      <w:r w:rsidRPr="00F94147">
        <w:rPr>
          <w:rFonts w:ascii="Calibri" w:hAnsi="Calibri"/>
          <w:bCs/>
        </w:rPr>
        <w:t xml:space="preserve"> začne veljati naslednji dan po objavi v Urad</w:t>
      </w:r>
      <w:r w:rsidR="00041637" w:rsidRPr="00F94147">
        <w:rPr>
          <w:rFonts w:ascii="Calibri" w:hAnsi="Calibri"/>
          <w:bCs/>
        </w:rPr>
        <w:t>nem vestniku</w:t>
      </w:r>
      <w:r w:rsidRPr="00F94147">
        <w:rPr>
          <w:rFonts w:ascii="Calibri" w:hAnsi="Calibri"/>
          <w:bCs/>
        </w:rPr>
        <w:t xml:space="preserve"> </w:t>
      </w:r>
      <w:r w:rsidR="00041637" w:rsidRPr="00F94147">
        <w:rPr>
          <w:rFonts w:ascii="Calibri" w:hAnsi="Calibri"/>
          <w:bCs/>
        </w:rPr>
        <w:t>MOV</w:t>
      </w:r>
      <w:r w:rsidR="002A2E9A">
        <w:rPr>
          <w:rFonts w:ascii="Calibri" w:hAnsi="Calibri"/>
          <w:bCs/>
        </w:rPr>
        <w:t xml:space="preserve"> in je osnova za izvedbo javnega razpisa in razdelitev sredstev za sofinanciranje programov športa v Mestni občini Velenje.</w:t>
      </w:r>
    </w:p>
    <w:p w14:paraId="5098C164" w14:textId="1A7547B9" w:rsidR="00F146A8" w:rsidRDefault="00F146A8" w:rsidP="00F146A8">
      <w:pPr>
        <w:rPr>
          <w:rFonts w:ascii="Calibri" w:hAnsi="Calibri"/>
          <w:bCs/>
          <w:szCs w:val="22"/>
        </w:rPr>
      </w:pPr>
    </w:p>
    <w:p w14:paraId="204D32D1" w14:textId="77777777" w:rsidR="004A4013" w:rsidRPr="00F94147" w:rsidRDefault="004A4013" w:rsidP="00F146A8">
      <w:pPr>
        <w:rPr>
          <w:rFonts w:ascii="Calibri" w:hAnsi="Calibri"/>
          <w:bCs/>
          <w:szCs w:val="22"/>
        </w:rPr>
      </w:pPr>
    </w:p>
    <w:bookmarkEnd w:id="3"/>
    <w:p w14:paraId="0F3FE72F" w14:textId="77777777" w:rsidR="00F146A8" w:rsidRPr="00F94147" w:rsidRDefault="00F146A8" w:rsidP="00F146A8">
      <w:pPr>
        <w:rPr>
          <w:rFonts w:ascii="Calibri" w:hAnsi="Calibri"/>
          <w:bCs/>
          <w:szCs w:val="22"/>
        </w:rPr>
      </w:pPr>
    </w:p>
    <w:p w14:paraId="21949EFD" w14:textId="5788AAA8" w:rsidR="00F146A8" w:rsidRPr="00F94147" w:rsidRDefault="00F146A8" w:rsidP="00F146A8">
      <w:pPr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Cs w:val="22"/>
        </w:rPr>
        <w:t>Številka:</w:t>
      </w:r>
      <w:r w:rsidR="00DB058C">
        <w:rPr>
          <w:rFonts w:ascii="Calibri" w:hAnsi="Calibri"/>
          <w:bCs/>
          <w:szCs w:val="22"/>
        </w:rPr>
        <w:t xml:space="preserve"> 4505-0020/2024</w:t>
      </w:r>
    </w:p>
    <w:p w14:paraId="5DA40A21" w14:textId="45CF47F3" w:rsidR="00F146A8" w:rsidRPr="00F94147" w:rsidRDefault="00F146A8" w:rsidP="00F146A8">
      <w:pPr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Cs w:val="22"/>
        </w:rPr>
        <w:t xml:space="preserve">Datum: </w:t>
      </w:r>
      <w:r w:rsidR="002B0927">
        <w:rPr>
          <w:rFonts w:ascii="Calibri" w:hAnsi="Calibri"/>
          <w:bCs/>
          <w:szCs w:val="22"/>
        </w:rPr>
        <w:t xml:space="preserve"> </w:t>
      </w:r>
      <w:r w:rsidR="00772AEA">
        <w:rPr>
          <w:rFonts w:ascii="Calibri" w:hAnsi="Calibri"/>
          <w:bCs/>
          <w:szCs w:val="22"/>
        </w:rPr>
        <w:t>3. 12. 2024</w:t>
      </w:r>
    </w:p>
    <w:p w14:paraId="792572FF" w14:textId="77777777" w:rsidR="00041637" w:rsidRPr="00F94147" w:rsidRDefault="00041637" w:rsidP="00F146A8">
      <w:pPr>
        <w:jc w:val="right"/>
        <w:rPr>
          <w:rFonts w:ascii="Calibri" w:hAnsi="Calibri"/>
          <w:bCs/>
          <w:szCs w:val="22"/>
        </w:rPr>
      </w:pPr>
    </w:p>
    <w:p w14:paraId="2CB986C4" w14:textId="6DC13CA1" w:rsidR="00F146A8" w:rsidRPr="00F94147" w:rsidRDefault="00B4478F" w:rsidP="00F146A8">
      <w:pPr>
        <w:jc w:val="right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ž</w:t>
      </w:r>
      <w:r w:rsidR="00041637" w:rsidRPr="00F94147">
        <w:rPr>
          <w:rFonts w:ascii="Calibri" w:hAnsi="Calibri"/>
          <w:bCs/>
          <w:szCs w:val="22"/>
        </w:rPr>
        <w:t>upan Mestne občine Velenje</w:t>
      </w:r>
    </w:p>
    <w:p w14:paraId="029EAB06" w14:textId="77777777" w:rsidR="002A2E9A" w:rsidRP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Cs w:val="22"/>
        </w:rPr>
      </w:pPr>
      <w:r w:rsidRPr="002A2E9A">
        <w:rPr>
          <w:rFonts w:asciiTheme="minorHAnsi" w:hAnsiTheme="minorHAnsi" w:cstheme="minorHAnsi"/>
          <w:bCs/>
          <w:szCs w:val="22"/>
        </w:rPr>
        <w:t xml:space="preserve">                                                                                 Peter DERMOL</w:t>
      </w:r>
    </w:p>
    <w:p w14:paraId="1C13A3FA" w14:textId="77777777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38867A66" w14:textId="77777777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1A127DF6" w14:textId="7CA7163A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310CA948" w14:textId="03935BCC" w:rsidR="00B4478F" w:rsidRDefault="00B4478F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47355EC6" w14:textId="77777777" w:rsidR="005F5DD7" w:rsidRDefault="005F5DD7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0A626AC7" w14:textId="0A5C63ED" w:rsidR="00B4478F" w:rsidRDefault="00B4478F" w:rsidP="00615058">
      <w:pPr>
        <w:rPr>
          <w:rFonts w:asciiTheme="minorHAnsi" w:hAnsiTheme="minorHAnsi" w:cstheme="minorHAnsi"/>
          <w:bCs/>
          <w:sz w:val="20"/>
        </w:rPr>
      </w:pPr>
    </w:p>
    <w:p w14:paraId="15723BC4" w14:textId="0E0CACD7" w:rsidR="00D34088" w:rsidRDefault="00D34088" w:rsidP="00615058">
      <w:pPr>
        <w:rPr>
          <w:rFonts w:asciiTheme="minorHAnsi" w:hAnsiTheme="minorHAnsi" w:cstheme="minorHAnsi"/>
          <w:bCs/>
          <w:sz w:val="20"/>
        </w:rPr>
      </w:pPr>
    </w:p>
    <w:p w14:paraId="174F7E96" w14:textId="23F9D7C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2D718A0" w14:textId="50D8823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D08A538" w14:textId="6FB70705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B953510" w14:textId="0621968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198B293" w14:textId="6A07A311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207B212" w14:textId="3C472FC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201044B" w14:textId="4C0E75A8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1C481A6" w14:textId="4AAEB26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AFF890A" w14:textId="28391A21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1AC2122" w14:textId="337FD138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98A3034" w14:textId="55681315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4B0DE74" w14:textId="6052C91A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2F9D6CA" w14:textId="25B1F640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740BA2F" w14:textId="49337B1C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706B970" w14:textId="3804D67A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CA4E987" w14:textId="4D9FA666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00BF8667" w14:textId="4E93CDBF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748F84D" w14:textId="656A4DB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A34DBC5" w14:textId="18DFF06E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21779F6" w14:textId="39AEAF94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7D92991A" w14:textId="7C088090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D3919E8" w14:textId="42A3D46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217C497" w14:textId="04DD9A8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47E7720" w14:textId="42ACDC0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7C826E87" w14:textId="32D73DC2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06691A1D" w14:textId="091B8DD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06CF2A9" w14:textId="77777777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5326A87" w14:textId="77777777" w:rsidR="006E4AB6" w:rsidRDefault="006E4AB6" w:rsidP="00615058">
      <w:pPr>
        <w:rPr>
          <w:rFonts w:asciiTheme="minorHAnsi" w:hAnsiTheme="minorHAnsi" w:cstheme="minorHAnsi"/>
          <w:bCs/>
          <w:sz w:val="20"/>
        </w:rPr>
      </w:pPr>
    </w:p>
    <w:p w14:paraId="678CB611" w14:textId="77777777" w:rsidR="00615058" w:rsidRDefault="00615058" w:rsidP="00615058">
      <w:pPr>
        <w:rPr>
          <w:rFonts w:asciiTheme="minorHAnsi" w:hAnsiTheme="minorHAnsi" w:cstheme="minorHAnsi"/>
          <w:bCs/>
          <w:sz w:val="20"/>
        </w:rPr>
      </w:pPr>
    </w:p>
    <w:p w14:paraId="3DC27272" w14:textId="77777777" w:rsidR="002A2E9A" w:rsidRPr="002A2E9A" w:rsidRDefault="002A2E9A" w:rsidP="002A2E9A">
      <w:pPr>
        <w:jc w:val="center"/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</w:pPr>
      <w:r w:rsidRPr="002A2E9A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  <w:t>OBRAZLOŽITEV</w:t>
      </w:r>
    </w:p>
    <w:p w14:paraId="67AD549B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  <w:lang w:eastAsia="sl-SI"/>
        </w:rPr>
      </w:pPr>
    </w:p>
    <w:p w14:paraId="7F93AC4D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color w:val="000000"/>
          <w:szCs w:val="22"/>
          <w:lang w:eastAsia="sl-SI"/>
        </w:rPr>
        <w:t>I. PRAVNA PODLAGA</w:t>
      </w:r>
    </w:p>
    <w:p w14:paraId="5CB621E7" w14:textId="77777777" w:rsidR="00DB058C" w:rsidRPr="00DB058C" w:rsidRDefault="00DB058C" w:rsidP="00DB058C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DB058C">
        <w:rPr>
          <w:rFonts w:asciiTheme="minorHAnsi" w:hAnsiTheme="minorHAnsi" w:cstheme="minorHAnsi"/>
          <w:bCs/>
          <w:iCs/>
          <w:szCs w:val="22"/>
          <w:lang w:eastAsia="sl-SI"/>
        </w:rPr>
        <w:t xml:space="preserve">Pravna podlaga za sprejem Letnega programa športa v Mestni občini Velenje za leto 2025 je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13. člen Zakona o športu (Uradni list RS, št. 29/2017, 21/18 – </w:t>
      </w:r>
      <w:proofErr w:type="spellStart"/>
      <w:r w:rsidRPr="00DB058C">
        <w:rPr>
          <w:rFonts w:asciiTheme="minorHAnsi" w:hAnsiTheme="minorHAnsi" w:cstheme="minorHAnsi"/>
          <w:iCs/>
          <w:szCs w:val="22"/>
          <w:lang w:eastAsia="sl-SI"/>
        </w:rPr>
        <w:t>ZNOrg</w:t>
      </w:r>
      <w:proofErr w:type="spellEnd"/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,  82/20, 3/22 – </w:t>
      </w:r>
      <w:proofErr w:type="spellStart"/>
      <w:r w:rsidRPr="00DB058C">
        <w:rPr>
          <w:rFonts w:asciiTheme="minorHAnsi" w:hAnsiTheme="minorHAnsi" w:cstheme="minorHAnsi"/>
          <w:iCs/>
          <w:szCs w:val="22"/>
          <w:lang w:eastAsia="sl-SI"/>
        </w:rPr>
        <w:t>ZDeb</w:t>
      </w:r>
      <w:proofErr w:type="spellEnd"/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 in 37/24), </w:t>
      </w:r>
      <w:r w:rsidRPr="00DB058C">
        <w:rPr>
          <w:rFonts w:asciiTheme="minorHAnsi" w:hAnsiTheme="minorHAnsi" w:cstheme="minorHAnsi"/>
          <w:iCs/>
          <w:color w:val="000000"/>
          <w:szCs w:val="22"/>
        </w:rPr>
        <w:t xml:space="preserve">4. člen Odloka o postopku za sofinanciranje letnega programa športa v Mestni občini Velenje (Uradni vestnik MOV, št. 25/24)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in </w:t>
      </w:r>
      <w:r w:rsidRPr="00DB058C">
        <w:rPr>
          <w:rFonts w:asciiTheme="minorHAnsi" w:hAnsiTheme="minorHAnsi" w:cstheme="minorHAnsi"/>
          <w:bCs/>
          <w:iCs/>
          <w:szCs w:val="22"/>
          <w:lang w:eastAsia="sl-SI"/>
        </w:rPr>
        <w:t>24. člen Statuta Mestne občine Velenje (Uradni Vestnik MOV, št.  14/22).</w:t>
      </w:r>
    </w:p>
    <w:p w14:paraId="5941A021" w14:textId="77777777" w:rsidR="00DB058C" w:rsidRDefault="00DB058C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7BD95C48" w14:textId="77777777" w:rsidR="00DB058C" w:rsidRPr="002A2E9A" w:rsidRDefault="00DB058C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49720AC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II. RAZLOGI ZA SPREJEM AKTA</w:t>
      </w:r>
    </w:p>
    <w:p w14:paraId="33F462A5" w14:textId="6C1AC32C" w:rsidR="00DB058C" w:rsidRPr="002A2E9A" w:rsidRDefault="00DB058C" w:rsidP="00DB058C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Na podlagi 13. člena Zakona o športu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 xml:space="preserve"> (ZŠpo-1)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izvajanje nacionalnega programa na lokalni ravni za posamezno koledarsko leto občinski svet, po predhodnem mnenju občinske športne zveze, določi z letnim program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 xml:space="preserve">om športa. 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Letni program športa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določ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i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programe in področja športa, ki se sofinancirajo v posameznem koledarskem letu in obseg javnih sredstev, ki se zagotavljajo v proračunu lokalne skupnosti, pri čemer upošteva strukturo in prednostne naloge, opredeljene v nacionalnem programu. Proračun Mestne občine Velenje za leto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2025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je bil sprejet na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17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. seji Sveta MOV, dne, 1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7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.12.202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4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, zato se Letni program športa v Mestni občini Velenje za leto 202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5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 xml:space="preserve"> lahko sprejme.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    </w:t>
      </w:r>
    </w:p>
    <w:p w14:paraId="03505639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3C0884E0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III. OCENA STANJA</w:t>
      </w:r>
    </w:p>
    <w:p w14:paraId="2DDE59BF" w14:textId="78508E45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LPŠ v Mestni občini Velenje za leto </w:t>
      </w:r>
      <w:r w:rsidR="00632DA1">
        <w:rPr>
          <w:rFonts w:asciiTheme="minorHAnsi" w:hAnsiTheme="minorHAnsi" w:cstheme="minorHAnsi"/>
          <w:bCs/>
          <w:iCs/>
          <w:szCs w:val="22"/>
          <w:lang w:eastAsia="sl-SI"/>
        </w:rPr>
        <w:t>2025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je usklajen z razpoložljivimi finančnimi sredstvi. </w:t>
      </w:r>
      <w:r w:rsidR="00840107">
        <w:rPr>
          <w:rFonts w:asciiTheme="minorHAnsi" w:hAnsiTheme="minorHAnsi" w:cstheme="minorHAnsi"/>
          <w:bCs/>
          <w:iCs/>
          <w:szCs w:val="22"/>
          <w:lang w:eastAsia="sl-SI"/>
        </w:rPr>
        <w:t xml:space="preserve"> </w:t>
      </w:r>
    </w:p>
    <w:p w14:paraId="4625D319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34203056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IV. KRATKA VSEBINA AKTA</w:t>
      </w:r>
    </w:p>
    <w:p w14:paraId="51EB2D4E" w14:textId="48D3E15E" w:rsidR="002A2E9A" w:rsidRPr="002A2E9A" w:rsidRDefault="002A2E9A" w:rsidP="002A2E9A">
      <w:pPr>
        <w:pStyle w:val="Golobesedil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Z Letnim programom športa za leto </w:t>
      </w:r>
      <w:r w:rsidR="00632DA1">
        <w:rPr>
          <w:rFonts w:asciiTheme="minorHAnsi" w:hAnsiTheme="minorHAnsi" w:cstheme="minorHAnsi"/>
          <w:bCs/>
          <w:iCs/>
          <w:sz w:val="22"/>
          <w:szCs w:val="22"/>
        </w:rPr>
        <w:t>2025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so v Mestni občini Velenje 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glede na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razvojn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načrt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občine, razpoložlji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va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sredstv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>proračuna ter s kadrovskimi in prostorskimi razmerami v športu določeni:</w:t>
      </w:r>
    </w:p>
    <w:p w14:paraId="4635EFEA" w14:textId="77777777" w:rsidR="002A2E9A" w:rsidRP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športni programi/področja, ki se sofinancirajo iz občinskega proračuna, </w:t>
      </w:r>
    </w:p>
    <w:p w14:paraId="1E41B109" w14:textId="77777777" w:rsidR="002A2E9A" w:rsidRP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višina proračunskih sredstev za sofinanciranje športnih programov/področij, </w:t>
      </w:r>
    </w:p>
    <w:p w14:paraId="3BA8E62A" w14:textId="0F1D6F09" w:rsid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>obseg in vrsto športnih programov/področij</w:t>
      </w:r>
      <w:r w:rsidR="00B9195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FDE6B43" w14:textId="77777777" w:rsidR="00B9195A" w:rsidRPr="00B9195A" w:rsidRDefault="00B9195A" w:rsidP="00B9195A">
      <w:pPr>
        <w:pStyle w:val="Golobesedil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92BFC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V. OCENA FINANČNIH IN DRUGIH POSLEDIC</w:t>
      </w:r>
    </w:p>
    <w:p w14:paraId="615F8806" w14:textId="17B1F2B4" w:rsidR="002A2E9A" w:rsidRPr="00B9195A" w:rsidRDefault="002A2E9A" w:rsidP="002A2E9A">
      <w:pPr>
        <w:jc w:val="both"/>
        <w:rPr>
          <w:rFonts w:asciiTheme="minorHAnsi" w:hAnsiTheme="minorHAnsi" w:cstheme="minorHAnsi"/>
          <w:iCs/>
          <w:sz w:val="24"/>
          <w:szCs w:val="24"/>
          <w:lang w:eastAsia="sl-SI"/>
        </w:rPr>
      </w:pP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Iz proračuna Mestne občine Velenje se </w:t>
      </w:r>
      <w:r w:rsidR="00615058" w:rsidRPr="002A2E9A">
        <w:rPr>
          <w:rFonts w:asciiTheme="minorHAnsi" w:hAnsiTheme="minorHAnsi" w:cstheme="minorHAnsi"/>
          <w:iCs/>
          <w:szCs w:val="22"/>
          <w:lang w:eastAsia="sl-SI"/>
        </w:rPr>
        <w:t xml:space="preserve">skladno z Odlokom o proračunu Mestne občine Velenje za leto </w:t>
      </w:r>
      <w:r w:rsidR="00632DA1">
        <w:rPr>
          <w:rFonts w:asciiTheme="minorHAnsi" w:hAnsiTheme="minorHAnsi" w:cstheme="minorHAnsi"/>
          <w:iCs/>
          <w:szCs w:val="22"/>
          <w:lang w:eastAsia="sl-SI"/>
        </w:rPr>
        <w:t>2025</w:t>
      </w:r>
      <w:r w:rsidR="00615058" w:rsidRPr="002A2E9A">
        <w:rPr>
          <w:rFonts w:asciiTheme="minorHAnsi" w:hAnsiTheme="minorHAnsi" w:cstheme="minorHAnsi"/>
          <w:iCs/>
          <w:szCs w:val="22"/>
          <w:lang w:eastAsia="sl-SI"/>
        </w:rPr>
        <w:t xml:space="preserve"> (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Uradni vestnik MOV, št. </w:t>
      </w:r>
      <w:r w:rsidR="005D3AFA">
        <w:rPr>
          <w:rFonts w:asciiTheme="minorHAnsi" w:hAnsiTheme="minorHAnsi" w:cstheme="minorHAnsi"/>
          <w:iCs/>
          <w:szCs w:val="22"/>
          <w:lang w:eastAsia="sl-SI"/>
        </w:rPr>
        <w:t>27</w:t>
      </w:r>
      <w:r w:rsidR="00B9195A" w:rsidRPr="00DB058C">
        <w:rPr>
          <w:rFonts w:asciiTheme="minorHAnsi" w:hAnsiTheme="minorHAnsi" w:cstheme="minorHAnsi"/>
          <w:iCs/>
          <w:szCs w:val="22"/>
          <w:lang w:eastAsia="sl-SI"/>
        </w:rPr>
        <w:t>/</w:t>
      </w:r>
      <w:r w:rsidR="005D3AFA">
        <w:rPr>
          <w:rFonts w:asciiTheme="minorHAnsi" w:hAnsiTheme="minorHAnsi" w:cstheme="minorHAnsi"/>
          <w:iCs/>
          <w:szCs w:val="22"/>
          <w:lang w:eastAsia="sl-SI"/>
        </w:rPr>
        <w:t>24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>)</w:t>
      </w:r>
      <w:r w:rsidR="005F0E21" w:rsidRPr="00DB058C">
        <w:rPr>
          <w:rFonts w:asciiTheme="minorHAnsi" w:hAnsiTheme="minorHAnsi" w:cstheme="minorHAnsi"/>
          <w:iCs/>
          <w:szCs w:val="22"/>
          <w:lang w:eastAsia="sl-SI"/>
        </w:rPr>
        <w:t xml:space="preserve">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za proračunsko leto </w:t>
      </w:r>
      <w:r w:rsidR="00632DA1" w:rsidRPr="00DB058C">
        <w:rPr>
          <w:rFonts w:asciiTheme="minorHAnsi" w:hAnsiTheme="minorHAnsi" w:cstheme="minorHAnsi"/>
          <w:iCs/>
          <w:szCs w:val="22"/>
          <w:lang w:eastAsia="sl-SI"/>
        </w:rPr>
        <w:t>2025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 za 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športne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>programe</w:t>
      </w:r>
      <w:r w:rsidR="00B9195A" w:rsidRPr="00DB058C">
        <w:rPr>
          <w:rFonts w:asciiTheme="minorHAnsi" w:hAnsiTheme="minorHAnsi" w:cstheme="minorHAnsi"/>
          <w:iCs/>
          <w:szCs w:val="22"/>
          <w:lang w:eastAsia="sl-SI"/>
        </w:rPr>
        <w:t xml:space="preserve"> in 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področja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zagotovi </w:t>
      </w:r>
      <w:r w:rsidR="00B9195A" w:rsidRPr="00DB058C">
        <w:rPr>
          <w:rFonts w:asciiTheme="minorHAnsi" w:hAnsiTheme="minorHAnsi" w:cstheme="minorHAnsi"/>
          <w:iCs/>
          <w:sz w:val="24"/>
          <w:szCs w:val="24"/>
          <w:lang w:eastAsia="sl-SI"/>
        </w:rPr>
        <w:t>3.</w:t>
      </w:r>
      <w:r w:rsidR="00B9195A" w:rsidRPr="00DB058C">
        <w:rPr>
          <w:rFonts w:ascii="Calibri" w:hAnsi="Calibri"/>
          <w:bCs/>
          <w:sz w:val="24"/>
          <w:szCs w:val="24"/>
        </w:rPr>
        <w:t>9</w:t>
      </w:r>
      <w:r w:rsidR="002944F1">
        <w:rPr>
          <w:rFonts w:ascii="Calibri" w:hAnsi="Calibri"/>
          <w:bCs/>
          <w:sz w:val="24"/>
          <w:szCs w:val="24"/>
        </w:rPr>
        <w:t>3</w:t>
      </w:r>
      <w:r w:rsidR="00DB058C">
        <w:rPr>
          <w:rFonts w:ascii="Calibri" w:hAnsi="Calibri"/>
          <w:bCs/>
          <w:sz w:val="24"/>
          <w:szCs w:val="24"/>
        </w:rPr>
        <w:t>3.</w:t>
      </w:r>
      <w:r w:rsidR="002944F1">
        <w:rPr>
          <w:rFonts w:ascii="Calibri" w:hAnsi="Calibri"/>
          <w:bCs/>
          <w:sz w:val="24"/>
          <w:szCs w:val="24"/>
        </w:rPr>
        <w:t>016</w:t>
      </w:r>
      <w:r w:rsidR="00DB058C">
        <w:rPr>
          <w:rFonts w:ascii="Calibri" w:hAnsi="Calibri"/>
          <w:bCs/>
          <w:sz w:val="24"/>
          <w:szCs w:val="24"/>
        </w:rPr>
        <w:t>,</w:t>
      </w:r>
      <w:r w:rsidR="002944F1">
        <w:rPr>
          <w:rFonts w:ascii="Calibri" w:hAnsi="Calibri"/>
          <w:bCs/>
          <w:sz w:val="24"/>
          <w:szCs w:val="24"/>
        </w:rPr>
        <w:t>08</w:t>
      </w:r>
      <w:r w:rsidR="00C572A7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</w:t>
      </w:r>
      <w:r w:rsidR="00615058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>€</w:t>
      </w:r>
      <w:r w:rsidR="00C572A7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>.</w:t>
      </w:r>
    </w:p>
    <w:p w14:paraId="28F2358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szCs w:val="22"/>
          <w:lang w:eastAsia="sl-SI"/>
        </w:rPr>
      </w:pPr>
    </w:p>
    <w:p w14:paraId="6EFB8235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</w:p>
    <w:p w14:paraId="41BF1E1F" w14:textId="4459BBF1" w:rsidR="002A2E9A" w:rsidRPr="002A2E9A" w:rsidRDefault="002A2E9A" w:rsidP="002A2E9A">
      <w:pPr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Pripravili:                                                             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</w:p>
    <w:p w14:paraId="5BF35045" w14:textId="24D61071" w:rsidR="002A2E9A" w:rsidRPr="00D1455E" w:rsidRDefault="002A2E9A" w:rsidP="002A2E9A">
      <w:pPr>
        <w:jc w:val="both"/>
        <w:rPr>
          <w:rFonts w:asciiTheme="minorHAnsi" w:hAnsiTheme="minorHAnsi" w:cstheme="minorHAnsi"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Olaf GRBEC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.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  <w:t xml:space="preserve">  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</w:p>
    <w:p w14:paraId="698222AE" w14:textId="43418569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Katka GERŠAK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. </w:t>
      </w:r>
    </w:p>
    <w:p w14:paraId="0D4D6E59" w14:textId="43A7D620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Simona POGORELČNIK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.</w:t>
      </w:r>
    </w:p>
    <w:p w14:paraId="6E8EFE15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</w:p>
    <w:p w14:paraId="7EB65CD8" w14:textId="418BE125" w:rsidR="002A2E9A" w:rsidRPr="002A2E9A" w:rsidRDefault="00B9195A" w:rsidP="00B9195A">
      <w:pPr>
        <w:jc w:val="right"/>
        <w:rPr>
          <w:rFonts w:asciiTheme="minorHAnsi" w:hAnsiTheme="minorHAnsi" w:cstheme="minorHAnsi"/>
          <w:b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VODJA UDD</w:t>
      </w:r>
    </w:p>
    <w:p w14:paraId="3514B5FE" w14:textId="78FD348D" w:rsidR="002A2E9A" w:rsidRPr="002A2E9A" w:rsidRDefault="00B9195A" w:rsidP="002A2E9A">
      <w:pPr>
        <w:jc w:val="right"/>
        <w:rPr>
          <w:rFonts w:asciiTheme="minorHAnsi" w:hAnsiTheme="minorHAnsi" w:cstheme="minorHAnsi"/>
          <w:bCs/>
          <w:iCs/>
          <w:color w:val="FF0000"/>
          <w:szCs w:val="22"/>
        </w:rPr>
      </w:pPr>
      <w:r w:rsidRPr="00D1455E">
        <w:rPr>
          <w:rFonts w:asciiTheme="minorHAnsi" w:hAnsiTheme="minorHAnsi" w:cstheme="minorHAnsi"/>
          <w:iCs/>
          <w:szCs w:val="22"/>
          <w:lang w:eastAsia="sl-SI"/>
        </w:rPr>
        <w:t xml:space="preserve">Marko PRITRŽNIK, </w:t>
      </w:r>
      <w:proofErr w:type="spellStart"/>
      <w:r w:rsidRPr="00D1455E">
        <w:rPr>
          <w:rFonts w:asciiTheme="minorHAnsi" w:hAnsiTheme="minorHAnsi" w:cstheme="minorHAnsi"/>
          <w:iCs/>
          <w:szCs w:val="22"/>
          <w:lang w:eastAsia="sl-SI"/>
        </w:rPr>
        <w:t>prof</w:t>
      </w:r>
      <w:proofErr w:type="spellEnd"/>
      <w:r w:rsidR="00E81F1E">
        <w:rPr>
          <w:rFonts w:asciiTheme="minorHAnsi" w:hAnsiTheme="minorHAnsi" w:cstheme="minorHAnsi"/>
          <w:iCs/>
          <w:szCs w:val="22"/>
          <w:lang w:eastAsia="sl-SI"/>
        </w:rPr>
        <w:t>,</w:t>
      </w:r>
      <w:r w:rsidRPr="00D1455E">
        <w:rPr>
          <w:rFonts w:asciiTheme="minorHAnsi" w:hAnsiTheme="minorHAnsi" w:cstheme="minorHAnsi"/>
          <w:iCs/>
          <w:szCs w:val="22"/>
          <w:lang w:eastAsia="sl-SI"/>
        </w:rPr>
        <w:t>.</w:t>
      </w:r>
      <w:proofErr w:type="spellStart"/>
      <w:r w:rsidR="005D3AFA">
        <w:rPr>
          <w:rFonts w:asciiTheme="minorHAnsi" w:hAnsiTheme="minorHAnsi" w:cstheme="minorHAnsi"/>
          <w:iCs/>
          <w:szCs w:val="22"/>
          <w:lang w:eastAsia="sl-SI"/>
        </w:rPr>
        <w:t>l.r</w:t>
      </w:r>
      <w:proofErr w:type="spellEnd"/>
      <w:r w:rsidR="005D3AFA">
        <w:rPr>
          <w:rFonts w:asciiTheme="minorHAnsi" w:hAnsiTheme="minorHAnsi" w:cstheme="minorHAnsi"/>
          <w:iCs/>
          <w:szCs w:val="22"/>
          <w:lang w:eastAsia="sl-SI"/>
        </w:rPr>
        <w:t>.</w:t>
      </w:r>
    </w:p>
    <w:p w14:paraId="76969DEC" w14:textId="77777777" w:rsidR="002A2E9A" w:rsidRPr="002A2E9A" w:rsidRDefault="002A2E9A" w:rsidP="002A2E9A">
      <w:pPr>
        <w:rPr>
          <w:rFonts w:asciiTheme="minorHAnsi" w:hAnsiTheme="minorHAnsi" w:cstheme="minorHAnsi"/>
          <w:b/>
          <w:iCs/>
          <w:szCs w:val="22"/>
        </w:rPr>
      </w:pPr>
    </w:p>
    <w:p w14:paraId="0B355FF9" w14:textId="77777777" w:rsidR="002A2E9A" w:rsidRPr="0085625B" w:rsidRDefault="002A2E9A" w:rsidP="002A2E9A">
      <w:pPr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</w:pPr>
      <w:r w:rsidRPr="0085625B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  <w:t>ŽUPAN:</w:t>
      </w:r>
    </w:p>
    <w:p w14:paraId="19AF830A" w14:textId="66E5DDFB" w:rsidR="002A2E9A" w:rsidRPr="0085625B" w:rsidRDefault="002A2E9A" w:rsidP="002A2E9A">
      <w:pPr>
        <w:jc w:val="both"/>
        <w:rPr>
          <w:rFonts w:asciiTheme="minorHAnsi" w:hAnsiTheme="minorHAnsi" w:cstheme="minorHAnsi"/>
          <w:iCs/>
          <w:sz w:val="24"/>
          <w:szCs w:val="24"/>
          <w:lang w:eastAsia="sl-SI"/>
        </w:rPr>
      </w:pP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Na podlagi 37. člena Statuta Mestne občine Velenje (Uradni vestnik MOV, št. 1/16 - </w:t>
      </w:r>
      <w:r w:rsidR="00012FF6">
        <w:rPr>
          <w:rFonts w:asciiTheme="minorHAnsi" w:hAnsiTheme="minorHAnsi" w:cstheme="minorHAnsi"/>
          <w:iCs/>
          <w:sz w:val="24"/>
          <w:szCs w:val="24"/>
          <w:lang w:eastAsia="sl-SI"/>
        </w:rPr>
        <w:t>UPB</w:t>
      </w: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) predlagam svetu, da predlog Letnega program športa v Mestni občini Velenje za leto </w:t>
      </w:r>
      <w:r w:rsidR="00632DA1">
        <w:rPr>
          <w:rFonts w:asciiTheme="minorHAnsi" w:hAnsiTheme="minorHAnsi" w:cstheme="minorHAnsi"/>
          <w:iCs/>
          <w:sz w:val="24"/>
          <w:szCs w:val="24"/>
          <w:lang w:eastAsia="sl-SI"/>
        </w:rPr>
        <w:t>2025</w:t>
      </w:r>
      <w:r w:rsidR="00C572A7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</w:t>
      </w:r>
      <w:r w:rsidR="00012FF6">
        <w:rPr>
          <w:rFonts w:asciiTheme="minorHAnsi" w:hAnsiTheme="minorHAnsi" w:cstheme="minorHAnsi"/>
          <w:iCs/>
          <w:sz w:val="24"/>
          <w:szCs w:val="24"/>
          <w:lang w:eastAsia="sl-SI"/>
        </w:rPr>
        <w:t>obravnava in</w:t>
      </w: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sprejme.</w:t>
      </w:r>
    </w:p>
    <w:p w14:paraId="7D42D738" w14:textId="523E00ED" w:rsidR="002A2E9A" w:rsidRDefault="002A2E9A" w:rsidP="002A2E9A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22"/>
          <w:lang w:eastAsia="sl-SI"/>
        </w:rPr>
      </w:pPr>
    </w:p>
    <w:p w14:paraId="2FB67551" w14:textId="77777777" w:rsidR="00C572A7" w:rsidRPr="002A2E9A" w:rsidRDefault="00C572A7" w:rsidP="002A2E9A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22"/>
          <w:lang w:eastAsia="sl-SI"/>
        </w:rPr>
      </w:pPr>
    </w:p>
    <w:p w14:paraId="08476F37" w14:textId="23E3D9B9" w:rsidR="002A2E9A" w:rsidRPr="002A2E9A" w:rsidRDefault="002A2E9A" w:rsidP="002A2E9A">
      <w:pPr>
        <w:jc w:val="right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                                                                                                               </w:t>
      </w:r>
      <w:r w:rsidR="00B4478F" w:rsidRPr="002A2E9A">
        <w:rPr>
          <w:rFonts w:asciiTheme="minorHAnsi" w:hAnsiTheme="minorHAnsi" w:cstheme="minorHAnsi"/>
          <w:iCs/>
          <w:szCs w:val="22"/>
        </w:rPr>
        <w:t>Peter DERMO</w:t>
      </w:r>
      <w:r w:rsidR="00B4478F">
        <w:rPr>
          <w:rFonts w:asciiTheme="minorHAnsi" w:hAnsiTheme="minorHAnsi" w:cstheme="minorHAnsi"/>
          <w:iCs/>
          <w:szCs w:val="22"/>
        </w:rPr>
        <w:t>L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</w:p>
    <w:p w14:paraId="37824BCD" w14:textId="77777777" w:rsidR="002A2E9A" w:rsidRPr="002A2E9A" w:rsidRDefault="002A2E9A" w:rsidP="002A2E9A">
      <w:pPr>
        <w:jc w:val="right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župan Mestne občine Velenje                                                                                                                     </w:t>
      </w:r>
    </w:p>
    <w:p w14:paraId="1CA2C181" w14:textId="77244580" w:rsidR="00041637" w:rsidRPr="00B30F82" w:rsidRDefault="002A2E9A" w:rsidP="00B30F82">
      <w:pPr>
        <w:jc w:val="right"/>
        <w:rPr>
          <w:rFonts w:asciiTheme="minorHAnsi" w:hAnsiTheme="minorHAnsi" w:cstheme="minorHAnsi"/>
          <w:iCs/>
          <w:szCs w:val="22"/>
        </w:rPr>
      </w:pP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  <w:t xml:space="preserve"> </w:t>
      </w:r>
    </w:p>
    <w:sectPr w:rsidR="00041637" w:rsidRPr="00B30F82" w:rsidSect="00F146A8">
      <w:footerReference w:type="default" r:id="rId9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A0CA" w14:textId="77777777" w:rsidR="00A70CE0" w:rsidRDefault="00A70CE0">
      <w:r>
        <w:separator/>
      </w:r>
    </w:p>
  </w:endnote>
  <w:endnote w:type="continuationSeparator" w:id="0">
    <w:p w14:paraId="545A89FC" w14:textId="77777777" w:rsidR="00A70CE0" w:rsidRDefault="00A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806E" w14:textId="77777777" w:rsidR="00D7238A" w:rsidRPr="00030299" w:rsidRDefault="00D7238A" w:rsidP="00F16DFE">
    <w:pPr>
      <w:pStyle w:val="Noga"/>
      <w:pBdr>
        <w:bar w:val="single" w:sz="4" w:color="auto"/>
      </w:pBdr>
      <w:jc w:val="center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283D" w14:textId="77777777" w:rsidR="00A70CE0" w:rsidRDefault="00A70CE0">
      <w:r>
        <w:separator/>
      </w:r>
    </w:p>
  </w:footnote>
  <w:footnote w:type="continuationSeparator" w:id="0">
    <w:p w14:paraId="3D777851" w14:textId="77777777" w:rsidR="00A70CE0" w:rsidRDefault="00A7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227"/>
    <w:multiLevelType w:val="multilevel"/>
    <w:tmpl w:val="66843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C1673"/>
    <w:multiLevelType w:val="hybridMultilevel"/>
    <w:tmpl w:val="78A23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27A"/>
    <w:multiLevelType w:val="hybridMultilevel"/>
    <w:tmpl w:val="10422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26C"/>
    <w:multiLevelType w:val="hybridMultilevel"/>
    <w:tmpl w:val="A154B0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B4A18"/>
    <w:multiLevelType w:val="hybridMultilevel"/>
    <w:tmpl w:val="94A63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104C"/>
    <w:multiLevelType w:val="hybridMultilevel"/>
    <w:tmpl w:val="F18E79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1C6695"/>
    <w:multiLevelType w:val="hybridMultilevel"/>
    <w:tmpl w:val="556EB9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7F8C"/>
    <w:multiLevelType w:val="hybridMultilevel"/>
    <w:tmpl w:val="5ED807B2"/>
    <w:lvl w:ilvl="0" w:tplc="04240001">
      <w:start w:val="1"/>
      <w:numFmt w:val="bullet"/>
      <w:lvlText w:val=""/>
      <w:lvlJc w:val="left"/>
      <w:pPr>
        <w:tabs>
          <w:tab w:val="num" w:pos="-1320"/>
        </w:tabs>
        <w:ind w:left="-13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600"/>
        </w:tabs>
        <w:ind w:left="-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</w:abstractNum>
  <w:abstractNum w:abstractNumId="8" w15:restartNumberingAfterBreak="0">
    <w:nsid w:val="4E3A3E1D"/>
    <w:multiLevelType w:val="hybridMultilevel"/>
    <w:tmpl w:val="32F06F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6600C"/>
    <w:multiLevelType w:val="hybridMultilevel"/>
    <w:tmpl w:val="E02200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1338E"/>
    <w:multiLevelType w:val="hybridMultilevel"/>
    <w:tmpl w:val="4FC0CD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C284F"/>
    <w:multiLevelType w:val="hybridMultilevel"/>
    <w:tmpl w:val="92B250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3321B"/>
    <w:multiLevelType w:val="hybridMultilevel"/>
    <w:tmpl w:val="012076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E22A9"/>
    <w:multiLevelType w:val="hybridMultilevel"/>
    <w:tmpl w:val="D6901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317508">
    <w:abstractNumId w:val="7"/>
  </w:num>
  <w:num w:numId="2" w16cid:durableId="1767728907">
    <w:abstractNumId w:val="1"/>
  </w:num>
  <w:num w:numId="3" w16cid:durableId="939992901">
    <w:abstractNumId w:val="3"/>
  </w:num>
  <w:num w:numId="4" w16cid:durableId="553851379">
    <w:abstractNumId w:val="4"/>
  </w:num>
  <w:num w:numId="5" w16cid:durableId="1659918408">
    <w:abstractNumId w:val="6"/>
  </w:num>
  <w:num w:numId="6" w16cid:durableId="93021085">
    <w:abstractNumId w:val="2"/>
  </w:num>
  <w:num w:numId="7" w16cid:durableId="422341666">
    <w:abstractNumId w:val="10"/>
  </w:num>
  <w:num w:numId="8" w16cid:durableId="268507657">
    <w:abstractNumId w:val="0"/>
  </w:num>
  <w:num w:numId="9" w16cid:durableId="250236221">
    <w:abstractNumId w:val="13"/>
  </w:num>
  <w:num w:numId="10" w16cid:durableId="127938849">
    <w:abstractNumId w:val="12"/>
  </w:num>
  <w:num w:numId="11" w16cid:durableId="1396511800">
    <w:abstractNumId w:val="5"/>
  </w:num>
  <w:num w:numId="12" w16cid:durableId="1407725468">
    <w:abstractNumId w:val="8"/>
  </w:num>
  <w:num w:numId="13" w16cid:durableId="742800614">
    <w:abstractNumId w:val="11"/>
  </w:num>
  <w:num w:numId="14" w16cid:durableId="715472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8"/>
    <w:rsid w:val="00012FF6"/>
    <w:rsid w:val="00024B98"/>
    <w:rsid w:val="0003529A"/>
    <w:rsid w:val="00041637"/>
    <w:rsid w:val="00043C02"/>
    <w:rsid w:val="0006692A"/>
    <w:rsid w:val="00067B12"/>
    <w:rsid w:val="00081462"/>
    <w:rsid w:val="0008697C"/>
    <w:rsid w:val="000A63E1"/>
    <w:rsid w:val="000F7917"/>
    <w:rsid w:val="00101DB2"/>
    <w:rsid w:val="001460FA"/>
    <w:rsid w:val="0015132A"/>
    <w:rsid w:val="001967B6"/>
    <w:rsid w:val="001A4894"/>
    <w:rsid w:val="001C4E43"/>
    <w:rsid w:val="001E63D5"/>
    <w:rsid w:val="002013FF"/>
    <w:rsid w:val="0020396B"/>
    <w:rsid w:val="002779B7"/>
    <w:rsid w:val="002944F1"/>
    <w:rsid w:val="002A2E9A"/>
    <w:rsid w:val="002A5442"/>
    <w:rsid w:val="002A7AC4"/>
    <w:rsid w:val="002B0927"/>
    <w:rsid w:val="002B34EA"/>
    <w:rsid w:val="002B3FEE"/>
    <w:rsid w:val="002C7F70"/>
    <w:rsid w:val="002E660A"/>
    <w:rsid w:val="002F67B2"/>
    <w:rsid w:val="0033315B"/>
    <w:rsid w:val="00377790"/>
    <w:rsid w:val="00391984"/>
    <w:rsid w:val="003B3BA3"/>
    <w:rsid w:val="003C02BF"/>
    <w:rsid w:val="003C1EA8"/>
    <w:rsid w:val="003C21C8"/>
    <w:rsid w:val="003D6783"/>
    <w:rsid w:val="003F0131"/>
    <w:rsid w:val="003F1066"/>
    <w:rsid w:val="00405C5D"/>
    <w:rsid w:val="0046075F"/>
    <w:rsid w:val="004729EB"/>
    <w:rsid w:val="00481C74"/>
    <w:rsid w:val="00497E2E"/>
    <w:rsid w:val="004A4013"/>
    <w:rsid w:val="004B1B65"/>
    <w:rsid w:val="004C5B86"/>
    <w:rsid w:val="0050747A"/>
    <w:rsid w:val="005340CF"/>
    <w:rsid w:val="00536952"/>
    <w:rsid w:val="00566E7C"/>
    <w:rsid w:val="005A2E6A"/>
    <w:rsid w:val="005C3CE1"/>
    <w:rsid w:val="005D3AFA"/>
    <w:rsid w:val="005E1764"/>
    <w:rsid w:val="005F0E21"/>
    <w:rsid w:val="005F5DD7"/>
    <w:rsid w:val="00610873"/>
    <w:rsid w:val="00615058"/>
    <w:rsid w:val="00632DA1"/>
    <w:rsid w:val="00646EBE"/>
    <w:rsid w:val="006B65C2"/>
    <w:rsid w:val="006C0C8F"/>
    <w:rsid w:val="006C2951"/>
    <w:rsid w:val="006D2BA4"/>
    <w:rsid w:val="006D4DAD"/>
    <w:rsid w:val="006E4AB6"/>
    <w:rsid w:val="006E70CF"/>
    <w:rsid w:val="006F5B60"/>
    <w:rsid w:val="00700912"/>
    <w:rsid w:val="007064FC"/>
    <w:rsid w:val="00772AEA"/>
    <w:rsid w:val="00790FB0"/>
    <w:rsid w:val="007C7E73"/>
    <w:rsid w:val="007D67B9"/>
    <w:rsid w:val="00840107"/>
    <w:rsid w:val="00846970"/>
    <w:rsid w:val="0085625B"/>
    <w:rsid w:val="00872545"/>
    <w:rsid w:val="008E4227"/>
    <w:rsid w:val="008F7F60"/>
    <w:rsid w:val="00925ECA"/>
    <w:rsid w:val="009A6BEF"/>
    <w:rsid w:val="009A6FBA"/>
    <w:rsid w:val="009B73E2"/>
    <w:rsid w:val="009C208F"/>
    <w:rsid w:val="009E5B14"/>
    <w:rsid w:val="00A04D2A"/>
    <w:rsid w:val="00A05C40"/>
    <w:rsid w:val="00A44B0D"/>
    <w:rsid w:val="00A55816"/>
    <w:rsid w:val="00A70CE0"/>
    <w:rsid w:val="00A95CBB"/>
    <w:rsid w:val="00AA607D"/>
    <w:rsid w:val="00AB4751"/>
    <w:rsid w:val="00AD64C6"/>
    <w:rsid w:val="00AD7449"/>
    <w:rsid w:val="00AF5574"/>
    <w:rsid w:val="00AF7A30"/>
    <w:rsid w:val="00B30D87"/>
    <w:rsid w:val="00B30F82"/>
    <w:rsid w:val="00B4478F"/>
    <w:rsid w:val="00B9195A"/>
    <w:rsid w:val="00BB78B5"/>
    <w:rsid w:val="00BC5BBB"/>
    <w:rsid w:val="00BD3976"/>
    <w:rsid w:val="00BD537D"/>
    <w:rsid w:val="00BF0CA4"/>
    <w:rsid w:val="00BF296C"/>
    <w:rsid w:val="00C572A7"/>
    <w:rsid w:val="00C81123"/>
    <w:rsid w:val="00C93ED7"/>
    <w:rsid w:val="00CB6759"/>
    <w:rsid w:val="00D036DD"/>
    <w:rsid w:val="00D113B5"/>
    <w:rsid w:val="00D1455E"/>
    <w:rsid w:val="00D34088"/>
    <w:rsid w:val="00D67075"/>
    <w:rsid w:val="00D7238A"/>
    <w:rsid w:val="00D944FA"/>
    <w:rsid w:val="00DB058C"/>
    <w:rsid w:val="00DD1DD0"/>
    <w:rsid w:val="00DD525B"/>
    <w:rsid w:val="00E35AC9"/>
    <w:rsid w:val="00E51223"/>
    <w:rsid w:val="00E61354"/>
    <w:rsid w:val="00E65CA1"/>
    <w:rsid w:val="00E81F1E"/>
    <w:rsid w:val="00E86531"/>
    <w:rsid w:val="00EC5C99"/>
    <w:rsid w:val="00EE55C9"/>
    <w:rsid w:val="00F146A8"/>
    <w:rsid w:val="00F16DFE"/>
    <w:rsid w:val="00F41BDA"/>
    <w:rsid w:val="00F8541A"/>
    <w:rsid w:val="00F914AB"/>
    <w:rsid w:val="00F94147"/>
    <w:rsid w:val="00FB1F34"/>
    <w:rsid w:val="00FD4720"/>
    <w:rsid w:val="00FD51D8"/>
    <w:rsid w:val="00FE6CBA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70EB"/>
  <w15:chartTrackingRefBased/>
  <w15:docId w15:val="{E70110A8-5C7D-46C3-B7BD-41DFBB1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6A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F146A8"/>
    <w:rPr>
      <w:rFonts w:ascii="Courier New" w:hAnsi="Courier New"/>
      <w:sz w:val="20"/>
    </w:rPr>
  </w:style>
  <w:style w:type="character" w:customStyle="1" w:styleId="GolobesediloZnak">
    <w:name w:val="Golo besedilo Znak"/>
    <w:basedOn w:val="Privzetapisavaodstavka"/>
    <w:link w:val="Golobesedilo"/>
    <w:rsid w:val="00F146A8"/>
    <w:rPr>
      <w:rFonts w:ascii="Courier New" w:eastAsia="Times New Roman" w:hAnsi="Courier New" w:cs="Times New Roman"/>
      <w:sz w:val="20"/>
      <w:szCs w:val="20"/>
    </w:rPr>
  </w:style>
  <w:style w:type="paragraph" w:styleId="Glava">
    <w:name w:val="header"/>
    <w:basedOn w:val="Navaden"/>
    <w:link w:val="GlavaZnak"/>
    <w:rsid w:val="00F146A8"/>
    <w:pPr>
      <w:tabs>
        <w:tab w:val="center" w:pos="4536"/>
        <w:tab w:val="right" w:pos="9072"/>
      </w:tabs>
    </w:pPr>
    <w:rPr>
      <w:sz w:val="24"/>
      <w:lang w:eastAsia="sl-SI"/>
    </w:rPr>
  </w:style>
  <w:style w:type="character" w:customStyle="1" w:styleId="GlavaZnak">
    <w:name w:val="Glava Znak"/>
    <w:basedOn w:val="Privzetapisavaodstavka"/>
    <w:link w:val="Glava"/>
    <w:rsid w:val="00F146A8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F146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46A8"/>
    <w:rPr>
      <w:rFonts w:ascii="Arial" w:eastAsia="Times New Roman" w:hAnsi="Arial" w:cs="Times New Roman"/>
      <w:szCs w:val="20"/>
    </w:rPr>
  </w:style>
  <w:style w:type="paragraph" w:styleId="Brezrazmikov">
    <w:name w:val="No Spacing"/>
    <w:link w:val="BrezrazmikovZnak"/>
    <w:uiPriority w:val="1"/>
    <w:qFormat/>
    <w:rsid w:val="00F14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F146A8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146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46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46A8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A2E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A2E6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A2E6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2E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2E6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9318A0-AFC9-420D-B0F4-1347E68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Remic Novak Katja</cp:lastModifiedBy>
  <cp:revision>13</cp:revision>
  <cp:lastPrinted>2024-11-26T10:50:00Z</cp:lastPrinted>
  <dcterms:created xsi:type="dcterms:W3CDTF">2024-11-26T10:51:00Z</dcterms:created>
  <dcterms:modified xsi:type="dcterms:W3CDTF">2024-12-19T07:56:00Z</dcterms:modified>
</cp:coreProperties>
</file>